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38B" w:rsidRPr="003A338B" w:rsidRDefault="003A338B" w:rsidP="00D266FC">
      <w:pPr>
        <w:bidi/>
        <w:spacing w:line="240" w:lineRule="auto"/>
        <w:jc w:val="center"/>
        <w:rPr>
          <w:rFonts w:ascii="Times New Roman" w:eastAsia="Times New Roman" w:hAnsi="Times New Roman" w:cs="Times New Roman"/>
          <w:sz w:val="24"/>
          <w:szCs w:val="24"/>
          <w:lang w:eastAsia="fr-FR"/>
        </w:rPr>
      </w:pPr>
      <w:r w:rsidRPr="003A338B">
        <w:rPr>
          <w:rFonts w:ascii="Times New Roman" w:eastAsia="Times New Roman" w:hAnsi="Times New Roman" w:cs="Times New Roman"/>
          <w:color w:val="606060"/>
          <w:sz w:val="24"/>
          <w:szCs w:val="24"/>
          <w:rtl/>
          <w:lang w:eastAsia="fr-FR"/>
        </w:rPr>
        <w:t>فلسفة الفقه</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color w:val="000000"/>
          <w:sz w:val="24"/>
          <w:szCs w:val="24"/>
          <w:rtl/>
          <w:lang w:eastAsia="fr-FR"/>
        </w:rPr>
        <w:t>الذهنية الخاصة للفقيه والعوامل الطارئة على الاجتهاد</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color w:val="606060"/>
          <w:sz w:val="24"/>
          <w:szCs w:val="24"/>
          <w:rtl/>
          <w:lang w:eastAsia="fr-FR"/>
        </w:rPr>
        <w:t>مداخلات</w:t>
      </w:r>
      <w:r w:rsidRPr="003A338B">
        <w:rPr>
          <w:rFonts w:ascii="Times New Roman" w:eastAsia="Times New Roman" w:hAnsi="Times New Roman" w:cs="Times New Roman"/>
          <w:sz w:val="24"/>
          <w:szCs w:val="24"/>
          <w:rtl/>
          <w:lang w:eastAsia="fr-FR"/>
        </w:rPr>
        <w:t xml:space="preserve"> </w:t>
      </w:r>
    </w:p>
    <w:p w:rsidR="003A338B" w:rsidRPr="003A338B" w:rsidRDefault="003A338B" w:rsidP="00D266FC">
      <w:pPr>
        <w:bidi/>
        <w:spacing w:after="150" w:line="240" w:lineRule="auto"/>
        <w:jc w:val="both"/>
        <w:rPr>
          <w:rFonts w:ascii="Times New Roman" w:eastAsia="Times New Roman" w:hAnsi="Times New Roman" w:cs="Times New Roman"/>
          <w:sz w:val="24"/>
          <w:szCs w:val="24"/>
          <w:lang w:eastAsia="fr-FR"/>
        </w:rPr>
      </w:pP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sz w:val="24"/>
          <w:szCs w:val="24"/>
          <w:rtl/>
          <w:lang w:eastAsia="fr-FR"/>
        </w:rPr>
        <w:t xml:space="preserve">يمثل الحديث حول فلسفة الفقه في الأوساط </w:t>
      </w:r>
      <w:proofErr w:type="spellStart"/>
      <w:r w:rsidRPr="003A338B">
        <w:rPr>
          <w:rFonts w:ascii="Times New Roman" w:eastAsia="Times New Roman" w:hAnsi="Times New Roman" w:cs="Times New Roman"/>
          <w:sz w:val="24"/>
          <w:szCs w:val="24"/>
          <w:rtl/>
          <w:lang w:eastAsia="fr-FR"/>
        </w:rPr>
        <w:t>الحوزوية</w:t>
      </w:r>
      <w:proofErr w:type="spellEnd"/>
      <w:r w:rsidRPr="003A338B">
        <w:rPr>
          <w:rFonts w:ascii="Times New Roman" w:eastAsia="Times New Roman" w:hAnsi="Times New Roman" w:cs="Times New Roman"/>
          <w:sz w:val="24"/>
          <w:szCs w:val="24"/>
          <w:rtl/>
          <w:lang w:eastAsia="fr-FR"/>
        </w:rPr>
        <w:t xml:space="preserve"> لوناً أصيلاً من ألوان التطوّر المعرفي، وهو أمر لابد من النظر إليه بجدّية تامة برغم المناقشات، وربما المغالطات والتشكيكات، التي تُثار بشأن إمكانات التثمير المعرفي للأطروحات الجديدة داخل المدارس الإسلامية التقليدية. ومن غير الممكن فصل التأثيرات المتبادلة بين فلسفة الفقه وعلم المقاصد، وذلك مع الإشارة إلى اختلاف السياقات بينهما وتباعد الاهتمامات والموضوعات، ولكن بالنظر إلى النتائج فإنّ كلا المساقين يتجهان نحو الحديث عن الأطر المرجعية </w:t>
      </w:r>
      <w:proofErr w:type="spellStart"/>
      <w:r w:rsidRPr="003A338B">
        <w:rPr>
          <w:rFonts w:ascii="Times New Roman" w:eastAsia="Times New Roman" w:hAnsi="Times New Roman" w:cs="Times New Roman"/>
          <w:sz w:val="24"/>
          <w:szCs w:val="24"/>
          <w:rtl/>
          <w:lang w:eastAsia="fr-FR"/>
        </w:rPr>
        <w:t>والمقاصدية</w:t>
      </w:r>
      <w:proofErr w:type="spellEnd"/>
      <w:r w:rsidRPr="003A338B">
        <w:rPr>
          <w:rFonts w:ascii="Times New Roman" w:eastAsia="Times New Roman" w:hAnsi="Times New Roman" w:cs="Times New Roman"/>
          <w:sz w:val="24"/>
          <w:szCs w:val="24"/>
          <w:rtl/>
          <w:lang w:eastAsia="fr-FR"/>
        </w:rPr>
        <w:t xml:space="preserve"> لحركة الفقه والحكم الشرعي، وهي ملاحظة تأتي إضافة تكميلية وتوجيهية للتحديدات الذاتية والموضوعية الأخرى </w:t>
      </w:r>
      <w:proofErr w:type="spellStart"/>
      <w:r w:rsidRPr="003A338B">
        <w:rPr>
          <w:rFonts w:ascii="Times New Roman" w:eastAsia="Times New Roman" w:hAnsi="Times New Roman" w:cs="Times New Roman"/>
          <w:sz w:val="24"/>
          <w:szCs w:val="24"/>
          <w:rtl/>
          <w:lang w:eastAsia="fr-FR"/>
        </w:rPr>
        <w:t>المبحوثة</w:t>
      </w:r>
      <w:proofErr w:type="spellEnd"/>
      <w:r w:rsidRPr="003A338B">
        <w:rPr>
          <w:rFonts w:ascii="Times New Roman" w:eastAsia="Times New Roman" w:hAnsi="Times New Roman" w:cs="Times New Roman"/>
          <w:sz w:val="24"/>
          <w:szCs w:val="24"/>
          <w:rtl/>
          <w:lang w:eastAsia="fr-FR"/>
        </w:rPr>
        <w:t xml:space="preserve"> في باب شروط الاجتهاد والإفتاء الشرعي</w:t>
      </w:r>
      <w:r w:rsidRPr="003A338B">
        <w:rPr>
          <w:rFonts w:ascii="Times New Roman" w:eastAsia="Times New Roman" w:hAnsi="Times New Roman" w:cs="Times New Roman"/>
          <w:sz w:val="24"/>
          <w:szCs w:val="24"/>
          <w:lang w:eastAsia="fr-FR"/>
        </w:rPr>
        <w:t xml:space="preserve">. </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sz w:val="24"/>
          <w:szCs w:val="24"/>
          <w:rtl/>
          <w:lang w:eastAsia="fr-FR"/>
        </w:rPr>
        <w:t>قصور العلوم الشرعية</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sz w:val="24"/>
          <w:szCs w:val="24"/>
          <w:rtl/>
          <w:lang w:eastAsia="fr-FR"/>
        </w:rPr>
        <w:t xml:space="preserve">ونظراً لحداثة هذا المبحث فإنّ هناك فتوراً عاماً في تجسيده والعمل به داخل الأطر الداخلية للمدارس الدينية، ولم يجر حتى الآن اعتماده داخل اللغة </w:t>
      </w:r>
      <w:proofErr w:type="spellStart"/>
      <w:r w:rsidRPr="003A338B">
        <w:rPr>
          <w:rFonts w:ascii="Times New Roman" w:eastAsia="Times New Roman" w:hAnsi="Times New Roman" w:cs="Times New Roman"/>
          <w:sz w:val="24"/>
          <w:szCs w:val="24"/>
          <w:rtl/>
          <w:lang w:eastAsia="fr-FR"/>
        </w:rPr>
        <w:t>الحوزوية</w:t>
      </w:r>
      <w:proofErr w:type="spellEnd"/>
      <w:r w:rsidRPr="003A338B">
        <w:rPr>
          <w:rFonts w:ascii="Times New Roman" w:eastAsia="Times New Roman" w:hAnsi="Times New Roman" w:cs="Times New Roman"/>
          <w:sz w:val="24"/>
          <w:szCs w:val="24"/>
          <w:rtl/>
          <w:lang w:eastAsia="fr-FR"/>
        </w:rPr>
        <w:t xml:space="preserve"> التقليدية باستثناء بعض المدارس </w:t>
      </w:r>
      <w:proofErr w:type="spellStart"/>
      <w:r w:rsidRPr="003A338B">
        <w:rPr>
          <w:rFonts w:ascii="Times New Roman" w:eastAsia="Times New Roman" w:hAnsi="Times New Roman" w:cs="Times New Roman"/>
          <w:sz w:val="24"/>
          <w:szCs w:val="24"/>
          <w:rtl/>
          <w:lang w:eastAsia="fr-FR"/>
        </w:rPr>
        <w:t>الحوزوية</w:t>
      </w:r>
      <w:proofErr w:type="spellEnd"/>
      <w:r w:rsidRPr="003A338B">
        <w:rPr>
          <w:rFonts w:ascii="Times New Roman" w:eastAsia="Times New Roman" w:hAnsi="Times New Roman" w:cs="Times New Roman"/>
          <w:sz w:val="24"/>
          <w:szCs w:val="24"/>
          <w:rtl/>
          <w:lang w:eastAsia="fr-FR"/>
        </w:rPr>
        <w:t xml:space="preserve"> غير المركزية (في مدينة مشهد الإيرانية) التي أدخلت مادة فلسفة الفقه في نظامها التعليمي، ولكن في الوقت نفسه يذهب بعض الباحثين إلى أن الأبحاث المدرجة حول فلسفة الفقه في الحوزة تلقى اتساعاً ملحوظاً، ويرجِع هؤلاء هذا الاهتمام إلى ''قصور العلوم الشرعية الموروثة عن استيعاب جملة من الرؤى المستحدثة، والإجابة على الاستفهامات المتنوعة في إطارها التقليدي، ما حفّز بعض الباحثين والدارسين في حقل هذه العلوم على اقتراح تحديث وتنمية العلوم الموروثة، وبناء علوم موازية لها، تتسع لاستيعاب نمط جديد من البحوث، وكانت الدعوة لتدشين علم يهتم بفلسفة الفقه واحدة من أحدث هذه المقترحات، التي نادت بها جماعة من الدارسين في الحوزة العلمية في السنوات الأخيرة</w:t>
      </w:r>
      <w:r w:rsidRPr="003A338B">
        <w:rPr>
          <w:rFonts w:ascii="Times New Roman" w:eastAsia="Times New Roman" w:hAnsi="Times New Roman" w:cs="Times New Roman"/>
          <w:sz w:val="24"/>
          <w:szCs w:val="24"/>
          <w:lang w:eastAsia="fr-FR"/>
        </w:rPr>
        <w:t xml:space="preserve">''i. </w:t>
      </w:r>
      <w:r w:rsidRPr="003A338B">
        <w:rPr>
          <w:rFonts w:ascii="Times New Roman" w:eastAsia="Times New Roman" w:hAnsi="Times New Roman" w:cs="Times New Roman"/>
          <w:sz w:val="24"/>
          <w:szCs w:val="24"/>
          <w:rtl/>
          <w:lang w:eastAsia="fr-FR"/>
        </w:rPr>
        <w:t xml:space="preserve">يوضّح الشيخ أحمد مبلغي أبعاد القصور المشار إليه فيما </w:t>
      </w:r>
      <w:proofErr w:type="spellStart"/>
      <w:r w:rsidRPr="003A338B">
        <w:rPr>
          <w:rFonts w:ascii="Times New Roman" w:eastAsia="Times New Roman" w:hAnsi="Times New Roman" w:cs="Times New Roman"/>
          <w:sz w:val="24"/>
          <w:szCs w:val="24"/>
          <w:rtl/>
          <w:lang w:eastAsia="fr-FR"/>
        </w:rPr>
        <w:t>يوصّفه</w:t>
      </w:r>
      <w:proofErr w:type="spellEnd"/>
      <w:r w:rsidRPr="003A338B">
        <w:rPr>
          <w:rFonts w:ascii="Times New Roman" w:eastAsia="Times New Roman" w:hAnsi="Times New Roman" w:cs="Times New Roman"/>
          <w:sz w:val="24"/>
          <w:szCs w:val="24"/>
          <w:rtl/>
          <w:lang w:eastAsia="fr-FR"/>
        </w:rPr>
        <w:t xml:space="preserve"> بـ ''الحلقة المفقودة'' التي لا يمكن أن يملأها إلا فلسفة الفقه كما يعبّر، قائلاً بوجود ''خطر أمام كل فقيه ومجتهد في استنباطه ووصوله لأحكام الله (...) هذا الخطر متوجّه إلى عملية الفهم، أو بتعبير أدق التفهّم. فالإنسان قد يتأثر فهمه بأمور معينة، وربما لا يشعر بهذا التأثر، وقد تسيطر هذه المؤثرات على فكره بحيث تجعله في قالب خاص، ومن ثم يتجه المفكّر إلى جهة خاطئة أو صحيحة تبعاً لذلك</w:t>
      </w:r>
      <w:r w:rsidRPr="003A338B">
        <w:rPr>
          <w:rFonts w:ascii="Times New Roman" w:eastAsia="Times New Roman" w:hAnsi="Times New Roman" w:cs="Times New Roman"/>
          <w:sz w:val="24"/>
          <w:szCs w:val="24"/>
          <w:lang w:eastAsia="fr-FR"/>
        </w:rPr>
        <w:t xml:space="preserve">''ii. </w:t>
      </w:r>
      <w:r w:rsidRPr="003A338B">
        <w:rPr>
          <w:rFonts w:ascii="Times New Roman" w:eastAsia="Times New Roman" w:hAnsi="Times New Roman" w:cs="Times New Roman"/>
          <w:sz w:val="24"/>
          <w:szCs w:val="24"/>
          <w:rtl/>
          <w:lang w:eastAsia="fr-FR"/>
        </w:rPr>
        <w:t xml:space="preserve">يمكن ربط القصور الذي يتحدّث عنه الرفاعي، والحلقة المفقودة في كلام مبلغي، بالمعضلة العويصة التي تتصل بثلاثية: (النص، الفقيه، والواقع)، ففي هذه العلاقة تتحرّك مجموعة من الأفكار المسبقة والتأثيرات الذهنية الخاصة والطارئة، وعلى ضوئها يتكرّس توجيه شرعي معين أو يغدو منبوذاً في مرحلة من المراحل. ومن المؤكد أن التطرّق لأثر الأفكار المسبقة والرؤية الأيديولوجية للفقيه يفضي مباشرة إلى الحكم بالطابع البشري القوي الذي يتحرّك في مراحل إنتاج الحكم الشرعي، وقد حاولت التقديمات الأصولية التقليدية، بقصد أو بدون قصد، إخفاء هذا الطابع وغمسه داخل التكوين المقدّس للنصوص الشرعية، </w:t>
      </w:r>
      <w:r w:rsidRPr="003A338B">
        <w:rPr>
          <w:rFonts w:ascii="Times New Roman" w:eastAsia="Times New Roman" w:hAnsi="Times New Roman" w:cs="Times New Roman"/>
          <w:sz w:val="24"/>
          <w:szCs w:val="24"/>
          <w:lang w:eastAsia="fr-FR"/>
        </w:rPr>
        <w:t>''</w:t>
      </w:r>
      <w:proofErr w:type="spellStart"/>
      <w:r w:rsidRPr="003A338B">
        <w:rPr>
          <w:rFonts w:ascii="Times New Roman" w:eastAsia="Times New Roman" w:hAnsi="Times New Roman" w:cs="Times New Roman"/>
          <w:sz w:val="24"/>
          <w:szCs w:val="24"/>
          <w:rtl/>
          <w:lang w:eastAsia="fr-FR"/>
        </w:rPr>
        <w:t>فالفقية</w:t>
      </w:r>
      <w:proofErr w:type="spellEnd"/>
      <w:r w:rsidRPr="003A338B">
        <w:rPr>
          <w:rFonts w:ascii="Times New Roman" w:eastAsia="Times New Roman" w:hAnsi="Times New Roman" w:cs="Times New Roman"/>
          <w:sz w:val="24"/>
          <w:szCs w:val="24"/>
          <w:rtl/>
          <w:lang w:eastAsia="fr-FR"/>
        </w:rPr>
        <w:t xml:space="preserve">، كإنسان، يعيش في ظروف ومدرسة وأسرة خاصة وفي مجتمع معين له خصوصياته وظروفه، وهذه كلها لها تأثير في تشكّل </w:t>
      </w:r>
      <w:proofErr w:type="spellStart"/>
      <w:r w:rsidRPr="003A338B">
        <w:rPr>
          <w:rFonts w:ascii="Times New Roman" w:eastAsia="Times New Roman" w:hAnsi="Times New Roman" w:cs="Times New Roman"/>
          <w:sz w:val="24"/>
          <w:szCs w:val="24"/>
          <w:rtl/>
          <w:lang w:eastAsia="fr-FR"/>
        </w:rPr>
        <w:t>ذهنيته</w:t>
      </w:r>
      <w:proofErr w:type="spellEnd"/>
      <w:r w:rsidRPr="003A338B">
        <w:rPr>
          <w:rFonts w:ascii="Times New Roman" w:eastAsia="Times New Roman" w:hAnsi="Times New Roman" w:cs="Times New Roman"/>
          <w:sz w:val="24"/>
          <w:szCs w:val="24"/>
          <w:rtl/>
          <w:lang w:eastAsia="fr-FR"/>
        </w:rPr>
        <w:t xml:space="preserve">، وهو ينطلق من هذه الذهنية (...) </w:t>
      </w:r>
      <w:proofErr w:type="gramStart"/>
      <w:r w:rsidRPr="003A338B">
        <w:rPr>
          <w:rFonts w:ascii="Times New Roman" w:eastAsia="Times New Roman" w:hAnsi="Times New Roman" w:cs="Times New Roman"/>
          <w:sz w:val="24"/>
          <w:szCs w:val="24"/>
          <w:rtl/>
          <w:lang w:eastAsia="fr-FR"/>
        </w:rPr>
        <w:t>نحو</w:t>
      </w:r>
      <w:proofErr w:type="gramEnd"/>
      <w:r w:rsidRPr="003A338B">
        <w:rPr>
          <w:rFonts w:ascii="Times New Roman" w:eastAsia="Times New Roman" w:hAnsi="Times New Roman" w:cs="Times New Roman"/>
          <w:sz w:val="24"/>
          <w:szCs w:val="24"/>
          <w:rtl/>
          <w:lang w:eastAsia="fr-FR"/>
        </w:rPr>
        <w:t xml:space="preserve"> استنباط الحكم الشرعي</w:t>
      </w:r>
      <w:r w:rsidRPr="003A338B">
        <w:rPr>
          <w:rFonts w:ascii="Times New Roman" w:eastAsia="Times New Roman" w:hAnsi="Times New Roman" w:cs="Times New Roman"/>
          <w:sz w:val="24"/>
          <w:szCs w:val="24"/>
          <w:lang w:eastAsia="fr-FR"/>
        </w:rPr>
        <w:t>''iii.</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sz w:val="24"/>
          <w:szCs w:val="24"/>
          <w:rtl/>
          <w:lang w:eastAsia="fr-FR"/>
        </w:rPr>
        <w:t>الاتجاه النفسي والذاتية في الاجتهاد</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sz w:val="24"/>
          <w:szCs w:val="24"/>
          <w:rtl/>
          <w:lang w:eastAsia="fr-FR"/>
        </w:rPr>
        <w:t>وجد مبحث علم الفقه فضاءه الحيّ في ظلّ التراكم المعرفي الذي توجّه نحو بحث العلائق الذاتية في عملية الاجتهاد، ومن أبرز الطروحات السابقة التي عالجت هذا الموضوع ما بسطه محمد باقر الصّدر (1980) في كتابه ''اقتصادنا</w:t>
      </w:r>
      <w:r w:rsidRPr="003A338B">
        <w:rPr>
          <w:rFonts w:ascii="Times New Roman" w:eastAsia="Times New Roman" w:hAnsi="Times New Roman" w:cs="Times New Roman"/>
          <w:sz w:val="24"/>
          <w:szCs w:val="24"/>
          <w:lang w:eastAsia="fr-FR"/>
        </w:rPr>
        <w:t xml:space="preserve">'' </w:t>
      </w:r>
      <w:r w:rsidRPr="003A338B">
        <w:rPr>
          <w:rFonts w:ascii="Times New Roman" w:eastAsia="Times New Roman" w:hAnsi="Times New Roman" w:cs="Times New Roman"/>
          <w:sz w:val="24"/>
          <w:szCs w:val="24"/>
          <w:rtl/>
          <w:lang w:eastAsia="fr-FR"/>
        </w:rPr>
        <w:t>تحت عنوان '' عملية الاجتهاد والذاتية'' متطرّقاً لما أسماه بخطر العنصر الذاتي في عملية الاجتهاد، وهو خطر يتفاقم أثره، بحسب الصّدر، ''عندما تفصل بين الشخص الممارس والنصوص التي يمارسها فواصلٌ تاريخية وواقعية كبيرة، وحين تكون تلك النصوص بصدد علاج قضايا يعيش الممارس واقعاً مخالفاً كل المخالفة لطريقة النصوص في علاج تلك القضايا</w:t>
      </w:r>
      <w:r w:rsidRPr="003A338B">
        <w:rPr>
          <w:rFonts w:ascii="Times New Roman" w:eastAsia="Times New Roman" w:hAnsi="Times New Roman" w:cs="Times New Roman"/>
          <w:sz w:val="24"/>
          <w:szCs w:val="24"/>
          <w:lang w:eastAsia="fr-FR"/>
        </w:rPr>
        <w:t xml:space="preserve">''iv. </w:t>
      </w:r>
      <w:proofErr w:type="gramStart"/>
      <w:r w:rsidRPr="003A338B">
        <w:rPr>
          <w:rFonts w:ascii="Times New Roman" w:eastAsia="Times New Roman" w:hAnsi="Times New Roman" w:cs="Times New Roman"/>
          <w:sz w:val="24"/>
          <w:szCs w:val="24"/>
          <w:rtl/>
          <w:lang w:eastAsia="fr-FR"/>
        </w:rPr>
        <w:t>ويُورد</w:t>
      </w:r>
      <w:proofErr w:type="gramEnd"/>
      <w:r w:rsidRPr="003A338B">
        <w:rPr>
          <w:rFonts w:ascii="Times New Roman" w:eastAsia="Times New Roman" w:hAnsi="Times New Roman" w:cs="Times New Roman"/>
          <w:sz w:val="24"/>
          <w:szCs w:val="24"/>
          <w:rtl/>
          <w:lang w:eastAsia="fr-FR"/>
        </w:rPr>
        <w:t xml:space="preserve"> الصّدر أربعة أسباب ''بوصفها أهم المنابع لخطر الذاتية''، ومن المفيد المرور عليها لأنها تُلقي الضوء على المقدمات الثقافيّة والمعرفيّة التي سبقت تبلور فلسفة الفقه. المنبع الأول هو تبرير الواقع، حيث يلجأ المجتهد إلى تقديم فهم خاص للنصوص بما يبرّر الواقع الفاسد الذي يعيشه، والمنبع الثاني هو دمج النص ضمن إطار خاص لا ينسجم مع الإسلام، وبينها ''الإطار اللغوي، كما إذا كانت الكلمة الأساسية في النصّ لفظاً مشحوناً بالتاريخ، أي ممتداً ومتطوّرا عبر الزمن.. </w:t>
      </w:r>
      <w:proofErr w:type="gramStart"/>
      <w:r w:rsidRPr="003A338B">
        <w:rPr>
          <w:rFonts w:ascii="Times New Roman" w:eastAsia="Times New Roman" w:hAnsi="Times New Roman" w:cs="Times New Roman"/>
          <w:sz w:val="24"/>
          <w:szCs w:val="24"/>
          <w:rtl/>
          <w:lang w:eastAsia="fr-FR"/>
        </w:rPr>
        <w:t>فمن</w:t>
      </w:r>
      <w:proofErr w:type="gramEnd"/>
      <w:r w:rsidRPr="003A338B">
        <w:rPr>
          <w:rFonts w:ascii="Times New Roman" w:eastAsia="Times New Roman" w:hAnsi="Times New Roman" w:cs="Times New Roman"/>
          <w:sz w:val="24"/>
          <w:szCs w:val="24"/>
          <w:rtl/>
          <w:lang w:eastAsia="fr-FR"/>
        </w:rPr>
        <w:t xml:space="preserve"> الطبيعي أن يبادر الممارس بصورة عفوية إلى فهم الكلمة كما تدل عليه في واقعها، لا في تاريخها البعيد، وقد يكون هذا المدلول حديثاً في عمر الكلمة، ونتاجاً لغوياً لمذهب جديد، أو حضارة ناشئة</w:t>
      </w:r>
      <w:r w:rsidRPr="003A338B">
        <w:rPr>
          <w:rFonts w:ascii="Times New Roman" w:eastAsia="Times New Roman" w:hAnsi="Times New Roman" w:cs="Times New Roman"/>
          <w:sz w:val="24"/>
          <w:szCs w:val="24"/>
          <w:lang w:eastAsia="fr-FR"/>
        </w:rPr>
        <w:t xml:space="preserve">..''v </w:t>
      </w:r>
      <w:r w:rsidRPr="003A338B">
        <w:rPr>
          <w:rFonts w:ascii="Times New Roman" w:eastAsia="Times New Roman" w:hAnsi="Times New Roman" w:cs="Times New Roman"/>
          <w:sz w:val="24"/>
          <w:szCs w:val="24"/>
          <w:rtl/>
          <w:lang w:eastAsia="fr-FR"/>
        </w:rPr>
        <w:t xml:space="preserve">أما المنبع الثالث فهو تجريد الدليل الشرعي من ظروفه وشروطه، أو ما يسمّيه الصّدر بتمديد الدليل دون مبرّر موضوعي، وهو ما يتم ضمن ما يُعرف بالعرف العام أو السيرة </w:t>
      </w:r>
      <w:proofErr w:type="spellStart"/>
      <w:r w:rsidRPr="003A338B">
        <w:rPr>
          <w:rFonts w:ascii="Times New Roman" w:eastAsia="Times New Roman" w:hAnsi="Times New Roman" w:cs="Times New Roman"/>
          <w:sz w:val="24"/>
          <w:szCs w:val="24"/>
          <w:rtl/>
          <w:lang w:eastAsia="fr-FR"/>
        </w:rPr>
        <w:t>العقلائية</w:t>
      </w:r>
      <w:proofErr w:type="spellEnd"/>
      <w:r w:rsidRPr="003A338B">
        <w:rPr>
          <w:rFonts w:ascii="Times New Roman" w:eastAsia="Times New Roman" w:hAnsi="Times New Roman" w:cs="Times New Roman"/>
          <w:sz w:val="24"/>
          <w:szCs w:val="24"/>
          <w:rtl/>
          <w:lang w:eastAsia="fr-FR"/>
        </w:rPr>
        <w:t xml:space="preserve">. والمنبع الأخير هو اتخاذ موقف معين بصورة مسبقة تجاه النص، وبتعبير الصّدر: ''الاتجاه النفسي للباحث. فإن للاتجاه النفسي أثره الكبير على عملية </w:t>
      </w:r>
      <w:proofErr w:type="gramStart"/>
      <w:r w:rsidRPr="003A338B">
        <w:rPr>
          <w:rFonts w:ascii="Times New Roman" w:eastAsia="Times New Roman" w:hAnsi="Times New Roman" w:cs="Times New Roman"/>
          <w:sz w:val="24"/>
          <w:szCs w:val="24"/>
          <w:rtl/>
          <w:lang w:eastAsia="fr-FR"/>
        </w:rPr>
        <w:t>فهم</w:t>
      </w:r>
      <w:proofErr w:type="gramEnd"/>
      <w:r w:rsidRPr="003A338B">
        <w:rPr>
          <w:rFonts w:ascii="Times New Roman" w:eastAsia="Times New Roman" w:hAnsi="Times New Roman" w:cs="Times New Roman"/>
          <w:sz w:val="24"/>
          <w:szCs w:val="24"/>
          <w:rtl/>
          <w:lang w:eastAsia="fr-FR"/>
        </w:rPr>
        <w:t xml:space="preserve"> النصوص</w:t>
      </w:r>
      <w:r w:rsidRPr="003A338B">
        <w:rPr>
          <w:rFonts w:ascii="Times New Roman" w:eastAsia="Times New Roman" w:hAnsi="Times New Roman" w:cs="Times New Roman"/>
          <w:sz w:val="24"/>
          <w:szCs w:val="24"/>
          <w:lang w:eastAsia="fr-FR"/>
        </w:rPr>
        <w:t>''vi.</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sz w:val="24"/>
          <w:szCs w:val="24"/>
          <w:rtl/>
          <w:lang w:eastAsia="fr-FR"/>
        </w:rPr>
        <w:t xml:space="preserve">ثمة أهمية تاريخية ومعرفية فيما ذكره الصّدر هنا، فهذا الكلام كتبه الأخير في أوائل ستينات القرن العشرين، </w:t>
      </w:r>
      <w:r w:rsidRPr="003A338B">
        <w:rPr>
          <w:rFonts w:ascii="Times New Roman" w:eastAsia="Times New Roman" w:hAnsi="Times New Roman" w:cs="Times New Roman"/>
          <w:sz w:val="24"/>
          <w:szCs w:val="24"/>
          <w:rtl/>
          <w:lang w:eastAsia="fr-FR"/>
        </w:rPr>
        <w:lastRenderedPageBreak/>
        <w:t xml:space="preserve">وهي حقبة لم تشهد نموّ الفكر </w:t>
      </w:r>
      <w:proofErr w:type="spellStart"/>
      <w:r w:rsidRPr="003A338B">
        <w:rPr>
          <w:rFonts w:ascii="Times New Roman" w:eastAsia="Times New Roman" w:hAnsi="Times New Roman" w:cs="Times New Roman"/>
          <w:sz w:val="24"/>
          <w:szCs w:val="24"/>
          <w:rtl/>
          <w:lang w:eastAsia="fr-FR"/>
        </w:rPr>
        <w:t>المقاصدي</w:t>
      </w:r>
      <w:proofErr w:type="spellEnd"/>
      <w:r w:rsidRPr="003A338B">
        <w:rPr>
          <w:rFonts w:ascii="Times New Roman" w:eastAsia="Times New Roman" w:hAnsi="Times New Roman" w:cs="Times New Roman"/>
          <w:sz w:val="24"/>
          <w:szCs w:val="24"/>
          <w:rtl/>
          <w:lang w:eastAsia="fr-FR"/>
        </w:rPr>
        <w:t xml:space="preserve"> داخل الحوزات، وكانت تنأى حينها عن البحث في تأثير العوامل الذاتية على عملية الاجتهاد ودور التغيّرات الخارجية عليها. ومن ناحية أخرى، فإن ما سطّره الصّدر يمثل قاعدة نظرية ثرية لتعزيز الرؤى المعتمدة حالياً في فلسفة الفقه، ولاسيما البحث في الأفكار المسبقة التي تكمن في الرؤية الفقهية أو الحكم الفقهي الذي يقدّمه الفقهاء. إلا أنّ ذلك، من جهة أخرى، لم يتح لفلسفة الفقه التأييد الواسع، ويرى مبلغي أن مؤيدي هذا الاتجاه في الحوزة هم قليلون جداً، بينما هناك الكثيرون ممن ينظر بشكل سلبي لهذا المبحث، ويُشكّك في جدواه وأهميته، ويصل الاعتراض عليه عند البعض إلى حدّ إساءة الظن في دوافعه ويرونه منافياً لمبدأ التعبّد. ومن البيّن أن هذا النمط الخطابي </w:t>
      </w:r>
      <w:proofErr w:type="spellStart"/>
      <w:r w:rsidRPr="003A338B">
        <w:rPr>
          <w:rFonts w:ascii="Times New Roman" w:eastAsia="Times New Roman" w:hAnsi="Times New Roman" w:cs="Times New Roman"/>
          <w:sz w:val="24"/>
          <w:szCs w:val="24"/>
          <w:rtl/>
          <w:lang w:eastAsia="fr-FR"/>
        </w:rPr>
        <w:t>والتخويني</w:t>
      </w:r>
      <w:proofErr w:type="spellEnd"/>
      <w:r w:rsidRPr="003A338B">
        <w:rPr>
          <w:rFonts w:ascii="Times New Roman" w:eastAsia="Times New Roman" w:hAnsi="Times New Roman" w:cs="Times New Roman"/>
          <w:sz w:val="24"/>
          <w:szCs w:val="24"/>
          <w:rtl/>
          <w:lang w:eastAsia="fr-FR"/>
        </w:rPr>
        <w:t xml:space="preserve"> في الاعتراض، وعدم تبني مراجع الدين الكبار لهذا الاتجاه رسمياً، أدى إلى وقوعه في نوع من الحصار، وتسبّب في </w:t>
      </w:r>
      <w:proofErr w:type="spellStart"/>
      <w:r w:rsidRPr="003A338B">
        <w:rPr>
          <w:rFonts w:ascii="Times New Roman" w:eastAsia="Times New Roman" w:hAnsi="Times New Roman" w:cs="Times New Roman"/>
          <w:sz w:val="24"/>
          <w:szCs w:val="24"/>
          <w:rtl/>
          <w:lang w:eastAsia="fr-FR"/>
        </w:rPr>
        <w:t>إنكفاء</w:t>
      </w:r>
      <w:proofErr w:type="spellEnd"/>
      <w:r w:rsidRPr="003A338B">
        <w:rPr>
          <w:rFonts w:ascii="Times New Roman" w:eastAsia="Times New Roman" w:hAnsi="Times New Roman" w:cs="Times New Roman"/>
          <w:sz w:val="24"/>
          <w:szCs w:val="24"/>
          <w:rtl/>
          <w:lang w:eastAsia="fr-FR"/>
        </w:rPr>
        <w:t xml:space="preserve"> بعض </w:t>
      </w:r>
      <w:proofErr w:type="spellStart"/>
      <w:r w:rsidRPr="003A338B">
        <w:rPr>
          <w:rFonts w:ascii="Times New Roman" w:eastAsia="Times New Roman" w:hAnsi="Times New Roman" w:cs="Times New Roman"/>
          <w:sz w:val="24"/>
          <w:szCs w:val="24"/>
          <w:rtl/>
          <w:lang w:eastAsia="fr-FR"/>
        </w:rPr>
        <w:t>مريديه</w:t>
      </w:r>
      <w:proofErr w:type="spellEnd"/>
      <w:r w:rsidRPr="003A338B">
        <w:rPr>
          <w:rFonts w:ascii="Times New Roman" w:eastAsia="Times New Roman" w:hAnsi="Times New Roman" w:cs="Times New Roman"/>
          <w:sz w:val="24"/>
          <w:szCs w:val="24"/>
          <w:rtl/>
          <w:lang w:eastAsia="fr-FR"/>
        </w:rPr>
        <w:t xml:space="preserve"> عن الكتابة حوله والحماسة له، ولكن من غير أن يؤثر ذلك بالطبع على نموّه وامتداده، ولو ببطء داخل بعض المؤسسات الدينية المؤثرة، ومن المعروف أن </w:t>
      </w:r>
      <w:bookmarkStart w:id="0" w:name="_GoBack"/>
      <w:bookmarkEnd w:id="0"/>
      <w:r w:rsidRPr="003A338B">
        <w:rPr>
          <w:rFonts w:ascii="Times New Roman" w:eastAsia="Times New Roman" w:hAnsi="Times New Roman" w:cs="Times New Roman"/>
          <w:sz w:val="24"/>
          <w:szCs w:val="24"/>
          <w:rtl/>
          <w:lang w:eastAsia="fr-FR"/>
        </w:rPr>
        <w:t xml:space="preserve">فقهاء كبار في إيران ممن يرتبطون بأعلى مستويات الحكم هناك هم ممن يعملون على الترويج لهذا العلم والاشتغال على تطويره وتأسيس موضوعاته، وكان ذلك بمثابة المنحة الجديدة لهذا العلم بعد أن كان محصوراً على روّاده البارزين والذين يمثلون توجهات فكرية غير محبّذة عند الذوق الفقهي التقليدي. وبغض النظر عن مستوى الحضور، فإن ما كان يقوله الشيخ مجتهد </w:t>
      </w:r>
      <w:proofErr w:type="spellStart"/>
      <w:r w:rsidRPr="003A338B">
        <w:rPr>
          <w:rFonts w:ascii="Times New Roman" w:eastAsia="Times New Roman" w:hAnsi="Times New Roman" w:cs="Times New Roman"/>
          <w:sz w:val="24"/>
          <w:szCs w:val="24"/>
          <w:rtl/>
          <w:lang w:eastAsia="fr-FR"/>
        </w:rPr>
        <w:t>شبستري</w:t>
      </w:r>
      <w:proofErr w:type="spellEnd"/>
      <w:r w:rsidRPr="003A338B">
        <w:rPr>
          <w:rFonts w:ascii="Times New Roman" w:eastAsia="Times New Roman" w:hAnsi="Times New Roman" w:cs="Times New Roman"/>
          <w:sz w:val="24"/>
          <w:szCs w:val="24"/>
          <w:rtl/>
          <w:lang w:eastAsia="fr-FR"/>
        </w:rPr>
        <w:t xml:space="preserve"> ومصطفى مليكان، وهما من أبرز المشيدين لفلسفة الفقه، بات اليوم مطروحاً في جملة من الأوساط المحسوبة على النظام الديني. لقد كان </w:t>
      </w:r>
      <w:proofErr w:type="spellStart"/>
      <w:r w:rsidRPr="003A338B">
        <w:rPr>
          <w:rFonts w:ascii="Times New Roman" w:eastAsia="Times New Roman" w:hAnsi="Times New Roman" w:cs="Times New Roman"/>
          <w:sz w:val="24"/>
          <w:szCs w:val="24"/>
          <w:rtl/>
          <w:lang w:eastAsia="fr-FR"/>
        </w:rPr>
        <w:t>شبستري</w:t>
      </w:r>
      <w:proofErr w:type="spellEnd"/>
      <w:r w:rsidRPr="003A338B">
        <w:rPr>
          <w:rFonts w:ascii="Times New Roman" w:eastAsia="Times New Roman" w:hAnsi="Times New Roman" w:cs="Times New Roman"/>
          <w:sz w:val="24"/>
          <w:szCs w:val="24"/>
          <w:rtl/>
          <w:lang w:eastAsia="fr-FR"/>
        </w:rPr>
        <w:t xml:space="preserve"> يجزم القول بأنه ليس صحيحاً القول إن ''الفقيه ينظر في عملية الاستنباط إلى الكتاب والسنة فقط، بل برزت أمامه واقعية (ظاهرة) أخرى لها مدخلها في الاستنباط. </w:t>
      </w:r>
      <w:proofErr w:type="gramStart"/>
      <w:r w:rsidRPr="003A338B">
        <w:rPr>
          <w:rFonts w:ascii="Times New Roman" w:eastAsia="Times New Roman" w:hAnsi="Times New Roman" w:cs="Times New Roman"/>
          <w:sz w:val="24"/>
          <w:szCs w:val="24"/>
          <w:rtl/>
          <w:lang w:eastAsia="fr-FR"/>
        </w:rPr>
        <w:t>وإذا</w:t>
      </w:r>
      <w:proofErr w:type="gramEnd"/>
      <w:r w:rsidRPr="003A338B">
        <w:rPr>
          <w:rFonts w:ascii="Times New Roman" w:eastAsia="Times New Roman" w:hAnsi="Times New Roman" w:cs="Times New Roman"/>
          <w:sz w:val="24"/>
          <w:szCs w:val="24"/>
          <w:rtl/>
          <w:lang w:eastAsia="fr-FR"/>
        </w:rPr>
        <w:t xml:space="preserve"> أراد الفقيه أن يأخذ بنظر الاعتبار مسألة التحولات الحياتية، فعليه إذن أن يحدّد لنفسه معنى واضحاً لهذه التحولات وللحضارة بشكل عام</w:t>
      </w:r>
      <w:r w:rsidRPr="003A338B">
        <w:rPr>
          <w:rFonts w:ascii="Times New Roman" w:eastAsia="Times New Roman" w:hAnsi="Times New Roman" w:cs="Times New Roman"/>
          <w:sz w:val="24"/>
          <w:szCs w:val="24"/>
          <w:lang w:eastAsia="fr-FR"/>
        </w:rPr>
        <w:t>''vii.</w:t>
      </w:r>
      <w:r w:rsidRPr="003A338B">
        <w:rPr>
          <w:rFonts w:ascii="Times New Roman" w:eastAsia="Times New Roman" w:hAnsi="Times New Roman" w:cs="Times New Roman"/>
          <w:sz w:val="24"/>
          <w:szCs w:val="24"/>
          <w:lang w:eastAsia="fr-FR"/>
        </w:rPr>
        <w:br/>
      </w:r>
      <w:r w:rsidRPr="003A338B">
        <w:rPr>
          <w:rFonts w:ascii="Times New Roman" w:eastAsia="Times New Roman" w:hAnsi="Times New Roman" w:cs="Times New Roman"/>
          <w:sz w:val="24"/>
          <w:szCs w:val="24"/>
          <w:rtl/>
          <w:lang w:eastAsia="fr-FR"/>
        </w:rPr>
        <w:t>الهوامش</w:t>
      </w:r>
      <w:r w:rsidRPr="003A338B">
        <w:rPr>
          <w:rFonts w:ascii="Times New Roman" w:eastAsia="Times New Roman" w:hAnsi="Times New Roman" w:cs="Times New Roman"/>
          <w:sz w:val="24"/>
          <w:szCs w:val="24"/>
          <w:lang w:eastAsia="fr-FR"/>
        </w:rPr>
        <w:t xml:space="preserve">: </w:t>
      </w:r>
      <w:r w:rsidRPr="003A338B">
        <w:rPr>
          <w:rFonts w:ascii="Times New Roman" w:eastAsia="Times New Roman" w:hAnsi="Times New Roman" w:cs="Times New Roman"/>
          <w:sz w:val="24"/>
          <w:szCs w:val="24"/>
          <w:lang w:eastAsia="fr-FR"/>
        </w:rPr>
        <w:br/>
        <w:t xml:space="preserve">i </w:t>
      </w:r>
      <w:r w:rsidRPr="003A338B">
        <w:rPr>
          <w:rFonts w:ascii="Times New Roman" w:eastAsia="Times New Roman" w:hAnsi="Times New Roman" w:cs="Times New Roman"/>
          <w:sz w:val="24"/>
          <w:szCs w:val="24"/>
          <w:rtl/>
          <w:lang w:eastAsia="fr-FR"/>
        </w:rPr>
        <w:t>عبد الجبار الرفاعي، من أصول الفقه إلى فلسفة الفقه، موقع مركز دراسات فلسفة الدين</w:t>
      </w:r>
      <w:r w:rsidRPr="003A338B">
        <w:rPr>
          <w:rFonts w:ascii="Times New Roman" w:eastAsia="Times New Roman" w:hAnsi="Times New Roman" w:cs="Times New Roman"/>
          <w:sz w:val="24"/>
          <w:szCs w:val="24"/>
          <w:lang w:eastAsia="fr-FR"/>
        </w:rPr>
        <w:t>.</w:t>
      </w:r>
      <w:r w:rsidRPr="003A338B">
        <w:rPr>
          <w:rFonts w:ascii="Times New Roman" w:eastAsia="Times New Roman" w:hAnsi="Times New Roman" w:cs="Times New Roman"/>
          <w:sz w:val="24"/>
          <w:szCs w:val="24"/>
          <w:lang w:eastAsia="fr-FR"/>
        </w:rPr>
        <w:br/>
        <w:t xml:space="preserve">ii </w:t>
      </w:r>
      <w:r w:rsidRPr="003A338B">
        <w:rPr>
          <w:rFonts w:ascii="Times New Roman" w:eastAsia="Times New Roman" w:hAnsi="Times New Roman" w:cs="Times New Roman"/>
          <w:sz w:val="24"/>
          <w:szCs w:val="24"/>
          <w:rtl/>
          <w:lang w:eastAsia="fr-FR"/>
        </w:rPr>
        <w:t>من حوار مع الشيخ مبلغي، صحيفة المرفأ الإيرانية، 22محرم ,1427 ص.5</w:t>
      </w:r>
      <w:r w:rsidRPr="003A338B">
        <w:rPr>
          <w:rFonts w:ascii="Times New Roman" w:eastAsia="Times New Roman" w:hAnsi="Times New Roman" w:cs="Times New Roman"/>
          <w:sz w:val="24"/>
          <w:szCs w:val="24"/>
          <w:lang w:eastAsia="fr-FR"/>
        </w:rPr>
        <w:br/>
        <w:t xml:space="preserve">iii </w:t>
      </w:r>
      <w:r w:rsidRPr="003A338B">
        <w:rPr>
          <w:rFonts w:ascii="Times New Roman" w:eastAsia="Times New Roman" w:hAnsi="Times New Roman" w:cs="Times New Roman"/>
          <w:sz w:val="24"/>
          <w:szCs w:val="24"/>
          <w:rtl/>
          <w:lang w:eastAsia="fr-FR"/>
        </w:rPr>
        <w:t>م. س</w:t>
      </w:r>
      <w:proofErr w:type="gramStart"/>
      <w:r w:rsidRPr="003A338B">
        <w:rPr>
          <w:rFonts w:ascii="Times New Roman" w:eastAsia="Times New Roman" w:hAnsi="Times New Roman" w:cs="Times New Roman"/>
          <w:sz w:val="24"/>
          <w:szCs w:val="24"/>
          <w:lang w:eastAsia="fr-FR"/>
        </w:rPr>
        <w:t>.</w:t>
      </w:r>
      <w:proofErr w:type="gramEnd"/>
      <w:r w:rsidRPr="003A338B">
        <w:rPr>
          <w:rFonts w:ascii="Times New Roman" w:eastAsia="Times New Roman" w:hAnsi="Times New Roman" w:cs="Times New Roman"/>
          <w:sz w:val="24"/>
          <w:szCs w:val="24"/>
          <w:lang w:eastAsia="fr-FR"/>
        </w:rPr>
        <w:br/>
        <w:t xml:space="preserve">iv </w:t>
      </w:r>
      <w:r w:rsidRPr="003A338B">
        <w:rPr>
          <w:rFonts w:ascii="Times New Roman" w:eastAsia="Times New Roman" w:hAnsi="Times New Roman" w:cs="Times New Roman"/>
          <w:sz w:val="24"/>
          <w:szCs w:val="24"/>
          <w:rtl/>
          <w:lang w:eastAsia="fr-FR"/>
        </w:rPr>
        <w:t>محمد باقر الصّدر، ''اقتصادنا''، ص.404</w:t>
      </w:r>
      <w:r w:rsidRPr="003A338B">
        <w:rPr>
          <w:rFonts w:ascii="Times New Roman" w:eastAsia="Times New Roman" w:hAnsi="Times New Roman" w:cs="Times New Roman"/>
          <w:sz w:val="24"/>
          <w:szCs w:val="24"/>
          <w:lang w:eastAsia="fr-FR"/>
        </w:rPr>
        <w:br/>
        <w:t xml:space="preserve">v </w:t>
      </w:r>
      <w:proofErr w:type="spellStart"/>
      <w:r w:rsidRPr="003A338B">
        <w:rPr>
          <w:rFonts w:ascii="Times New Roman" w:eastAsia="Times New Roman" w:hAnsi="Times New Roman" w:cs="Times New Roman"/>
          <w:sz w:val="24"/>
          <w:szCs w:val="24"/>
          <w:rtl/>
          <w:lang w:eastAsia="fr-FR"/>
        </w:rPr>
        <w:t>ن.م</w:t>
      </w:r>
      <w:proofErr w:type="spellEnd"/>
      <w:r w:rsidRPr="003A338B">
        <w:rPr>
          <w:rFonts w:ascii="Times New Roman" w:eastAsia="Times New Roman" w:hAnsi="Times New Roman" w:cs="Times New Roman"/>
          <w:sz w:val="24"/>
          <w:szCs w:val="24"/>
          <w:rtl/>
          <w:lang w:eastAsia="fr-FR"/>
        </w:rPr>
        <w:t xml:space="preserve"> ص .408</w:t>
      </w:r>
      <w:r w:rsidRPr="003A338B">
        <w:rPr>
          <w:rFonts w:ascii="Times New Roman" w:eastAsia="Times New Roman" w:hAnsi="Times New Roman" w:cs="Times New Roman"/>
          <w:sz w:val="24"/>
          <w:szCs w:val="24"/>
          <w:lang w:eastAsia="fr-FR"/>
        </w:rPr>
        <w:br/>
        <w:t xml:space="preserve">vi </w:t>
      </w:r>
      <w:proofErr w:type="spellStart"/>
      <w:r w:rsidRPr="003A338B">
        <w:rPr>
          <w:rFonts w:ascii="Times New Roman" w:eastAsia="Times New Roman" w:hAnsi="Times New Roman" w:cs="Times New Roman"/>
          <w:sz w:val="24"/>
          <w:szCs w:val="24"/>
          <w:rtl/>
          <w:lang w:eastAsia="fr-FR"/>
        </w:rPr>
        <w:t>ن.م</w:t>
      </w:r>
      <w:proofErr w:type="spellEnd"/>
      <w:r w:rsidRPr="003A338B">
        <w:rPr>
          <w:rFonts w:ascii="Times New Roman" w:eastAsia="Times New Roman" w:hAnsi="Times New Roman" w:cs="Times New Roman"/>
          <w:sz w:val="24"/>
          <w:szCs w:val="24"/>
          <w:rtl/>
          <w:lang w:eastAsia="fr-FR"/>
        </w:rPr>
        <w:t xml:space="preserve"> ص 413</w:t>
      </w:r>
      <w:r w:rsidRPr="003A338B">
        <w:rPr>
          <w:rFonts w:ascii="Times New Roman" w:eastAsia="Times New Roman" w:hAnsi="Times New Roman" w:cs="Times New Roman"/>
          <w:sz w:val="24"/>
          <w:szCs w:val="24"/>
          <w:lang w:eastAsia="fr-FR"/>
        </w:rPr>
        <w:br/>
        <w:t xml:space="preserve">vii </w:t>
      </w:r>
      <w:r w:rsidRPr="003A338B">
        <w:rPr>
          <w:rFonts w:ascii="Times New Roman" w:eastAsia="Times New Roman" w:hAnsi="Times New Roman" w:cs="Times New Roman"/>
          <w:sz w:val="24"/>
          <w:szCs w:val="24"/>
          <w:rtl/>
          <w:lang w:eastAsia="fr-FR"/>
        </w:rPr>
        <w:t xml:space="preserve">محمد مجتهد </w:t>
      </w:r>
      <w:proofErr w:type="spellStart"/>
      <w:r w:rsidRPr="003A338B">
        <w:rPr>
          <w:rFonts w:ascii="Times New Roman" w:eastAsia="Times New Roman" w:hAnsi="Times New Roman" w:cs="Times New Roman"/>
          <w:sz w:val="24"/>
          <w:szCs w:val="24"/>
          <w:rtl/>
          <w:lang w:eastAsia="fr-FR"/>
        </w:rPr>
        <w:t>شبستري</w:t>
      </w:r>
      <w:proofErr w:type="spellEnd"/>
      <w:r w:rsidRPr="003A338B">
        <w:rPr>
          <w:rFonts w:ascii="Times New Roman" w:eastAsia="Times New Roman" w:hAnsi="Times New Roman" w:cs="Times New Roman"/>
          <w:sz w:val="24"/>
          <w:szCs w:val="24"/>
          <w:rtl/>
          <w:lang w:eastAsia="fr-FR"/>
        </w:rPr>
        <w:t>، ''مدخل إلى علم الكلام الجديد''، ص 110-.111</w:t>
      </w:r>
    </w:p>
    <w:p w:rsidR="008C7C61" w:rsidRDefault="008C7C61" w:rsidP="00D266FC">
      <w:pPr>
        <w:bidi/>
      </w:pPr>
    </w:p>
    <w:sectPr w:rsidR="008C7C6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22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38B"/>
    <w:rsid w:val="003A338B"/>
    <w:rsid w:val="00743369"/>
    <w:rsid w:val="008C7C61"/>
    <w:rsid w:val="00D266FC"/>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rtext1">
    <w:name w:val="artext1"/>
    <w:basedOn w:val="Policepardfaut"/>
    <w:rsid w:val="003A33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artext1">
    <w:name w:val="artext1"/>
    <w:basedOn w:val="Policepardfaut"/>
    <w:rsid w:val="003A33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554193">
      <w:bodyDiv w:val="1"/>
      <w:marLeft w:val="0"/>
      <w:marRight w:val="0"/>
      <w:marTop w:val="0"/>
      <w:marBottom w:val="0"/>
      <w:divBdr>
        <w:top w:val="none" w:sz="0" w:space="0" w:color="auto"/>
        <w:left w:val="none" w:sz="0" w:space="0" w:color="auto"/>
        <w:bottom w:val="none" w:sz="0" w:space="0" w:color="auto"/>
        <w:right w:val="none" w:sz="0" w:space="0" w:color="auto"/>
      </w:divBdr>
      <w:divsChild>
        <w:div w:id="904797913">
          <w:marLeft w:val="0"/>
          <w:marRight w:val="0"/>
          <w:marTop w:val="0"/>
          <w:marBottom w:val="450"/>
          <w:divBdr>
            <w:top w:val="none" w:sz="0" w:space="0" w:color="auto"/>
            <w:left w:val="none" w:sz="0" w:space="0" w:color="auto"/>
            <w:bottom w:val="none" w:sz="0" w:space="0" w:color="auto"/>
            <w:right w:val="none" w:sz="0" w:space="0" w:color="auto"/>
          </w:divBdr>
        </w:div>
        <w:div w:id="6730966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986</Words>
  <Characters>5428</Characters>
  <Application>Microsoft Office Word</Application>
  <DocSecurity>0</DocSecurity>
  <Lines>45</Lines>
  <Paragraphs>12</Paragraphs>
  <ScaleCrop>false</ScaleCrop>
  <Company/>
  <LinksUpToDate>false</LinksUpToDate>
  <CharactersWithSpaces>6402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2</cp:revision>
  <dcterms:created xsi:type="dcterms:W3CDTF">2010-07-23T17:24:00Z</dcterms:created>
  <dcterms:modified xsi:type="dcterms:W3CDTF">2010-08-07T15:37:00Z</dcterms:modified>
</cp:coreProperties>
</file>