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250" w:type="dxa"/>
        <w:tblCellSpacing w:w="0" w:type="dxa"/>
        <w:tblCellMar>
          <w:left w:w="0" w:type="dxa"/>
          <w:right w:w="0" w:type="dxa"/>
        </w:tblCellMar>
        <w:tblLook w:val="04A0" w:firstRow="1" w:lastRow="0" w:firstColumn="1" w:lastColumn="0" w:noHBand="0" w:noVBand="1"/>
      </w:tblPr>
      <w:tblGrid>
        <w:gridCol w:w="5250"/>
        <w:gridCol w:w="1171"/>
        <w:gridCol w:w="862"/>
        <w:gridCol w:w="967"/>
      </w:tblGrid>
      <w:tr w:rsidR="00D56918" w:rsidRPr="00D56918" w:rsidTr="00D56918">
        <w:trPr>
          <w:tblCellSpacing w:w="0" w:type="dxa"/>
        </w:trPr>
        <w:tc>
          <w:tcPr>
            <w:tcW w:w="5250" w:type="dxa"/>
            <w:vAlign w:val="center"/>
            <w:hideMark/>
          </w:tcPr>
          <w:p w:rsidR="00D56918" w:rsidRPr="00D56918" w:rsidRDefault="00D56918" w:rsidP="00D56918">
            <w:pPr>
              <w:bidi/>
              <w:spacing w:before="100" w:beforeAutospacing="1" w:after="100" w:afterAutospacing="1" w:line="240" w:lineRule="auto"/>
              <w:jc w:val="both"/>
              <w:rPr>
                <w:rFonts w:asciiTheme="majorBidi" w:eastAsia="Times New Roman" w:hAnsiTheme="majorBidi" w:cstheme="majorBidi"/>
                <w:b/>
                <w:bCs/>
                <w:sz w:val="28"/>
                <w:szCs w:val="28"/>
                <w:lang w:eastAsia="fr-FR"/>
              </w:rPr>
            </w:pPr>
            <w:bookmarkStart w:id="0" w:name="_GoBack"/>
            <w:proofErr w:type="gramStart"/>
            <w:r w:rsidRPr="00D56918">
              <w:rPr>
                <w:rFonts w:asciiTheme="majorBidi" w:eastAsia="Times New Roman" w:hAnsiTheme="majorBidi" w:cstheme="majorBidi"/>
                <w:b/>
                <w:bCs/>
                <w:sz w:val="28"/>
                <w:szCs w:val="28"/>
                <w:rtl/>
                <w:lang w:eastAsia="fr-FR"/>
              </w:rPr>
              <w:t>نذير</w:t>
            </w:r>
            <w:proofErr w:type="gramEnd"/>
            <w:r w:rsidRPr="00D56918">
              <w:rPr>
                <w:rFonts w:asciiTheme="majorBidi" w:eastAsia="Times New Roman" w:hAnsiTheme="majorBidi" w:cstheme="majorBidi"/>
                <w:b/>
                <w:bCs/>
                <w:sz w:val="28"/>
                <w:szCs w:val="28"/>
                <w:rtl/>
                <w:lang w:eastAsia="fr-FR"/>
              </w:rPr>
              <w:t xml:space="preserve"> الماجد</w:t>
            </w:r>
          </w:p>
        </w:tc>
        <w:tc>
          <w:tcPr>
            <w:tcW w:w="0" w:type="auto"/>
            <w:vAlign w:val="center"/>
            <w:hideMark/>
          </w:tcPr>
          <w:p w:rsidR="00D56918" w:rsidRPr="00D56918" w:rsidRDefault="00D56918" w:rsidP="00D56918">
            <w:pPr>
              <w:bidi/>
              <w:spacing w:after="0" w:line="240" w:lineRule="auto"/>
              <w:jc w:val="both"/>
              <w:rPr>
                <w:rFonts w:asciiTheme="majorBidi" w:eastAsia="Times New Roman" w:hAnsiTheme="majorBidi" w:cstheme="majorBidi"/>
                <w:sz w:val="28"/>
                <w:szCs w:val="28"/>
                <w:lang w:eastAsia="fr-FR"/>
              </w:rPr>
            </w:pPr>
            <w:r w:rsidRPr="00D56918">
              <w:rPr>
                <w:rFonts w:asciiTheme="majorBidi" w:eastAsia="Times New Roman" w:hAnsiTheme="majorBidi" w:cstheme="majorBidi"/>
                <w:noProof/>
                <w:color w:val="0000FF"/>
                <w:sz w:val="28"/>
                <w:szCs w:val="28"/>
                <w:lang w:eastAsia="fr-FR"/>
              </w:rPr>
              <w:drawing>
                <wp:inline distT="0" distB="0" distL="0" distR="0" wp14:anchorId="4EDCB34B" wp14:editId="03D72F79">
                  <wp:extent cx="440055" cy="440055"/>
                  <wp:effectExtent l="0" t="0" r="0" b="0"/>
                  <wp:docPr id="3" name="Image 3" descr="طباعة">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طباعة">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0055" cy="440055"/>
                          </a:xfrm>
                          <a:prstGeom prst="rect">
                            <a:avLst/>
                          </a:prstGeom>
                          <a:noFill/>
                          <a:ln>
                            <a:noFill/>
                          </a:ln>
                        </pic:spPr>
                      </pic:pic>
                    </a:graphicData>
                  </a:graphic>
                </wp:inline>
              </w:drawing>
            </w:r>
          </w:p>
        </w:tc>
        <w:tc>
          <w:tcPr>
            <w:tcW w:w="0" w:type="auto"/>
            <w:vAlign w:val="center"/>
            <w:hideMark/>
          </w:tcPr>
          <w:p w:rsidR="00D56918" w:rsidRPr="00D56918" w:rsidRDefault="00D56918" w:rsidP="00D56918">
            <w:pPr>
              <w:bidi/>
              <w:spacing w:after="0" w:line="240" w:lineRule="auto"/>
              <w:jc w:val="both"/>
              <w:rPr>
                <w:rFonts w:asciiTheme="majorBidi" w:eastAsia="Times New Roman" w:hAnsiTheme="majorBidi" w:cstheme="majorBidi"/>
                <w:sz w:val="28"/>
                <w:szCs w:val="28"/>
                <w:lang w:eastAsia="fr-FR"/>
              </w:rPr>
            </w:pPr>
            <w:r w:rsidRPr="00D56918">
              <w:rPr>
                <w:rFonts w:asciiTheme="majorBidi" w:eastAsia="Times New Roman" w:hAnsiTheme="majorBidi" w:cstheme="majorBidi"/>
                <w:noProof/>
                <w:color w:val="0000FF"/>
                <w:sz w:val="28"/>
                <w:szCs w:val="28"/>
                <w:lang w:eastAsia="fr-FR"/>
              </w:rPr>
              <w:drawing>
                <wp:inline distT="0" distB="0" distL="0" distR="0" wp14:anchorId="7144E5A8" wp14:editId="7B2B60C7">
                  <wp:extent cx="316230" cy="324485"/>
                  <wp:effectExtent l="0" t="0" r="7620" b="0"/>
                  <wp:docPr id="2" name="Image 2" descr="أضف تعليق">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أضف تعليق">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6230" cy="324485"/>
                          </a:xfrm>
                          <a:prstGeom prst="rect">
                            <a:avLst/>
                          </a:prstGeom>
                          <a:noFill/>
                          <a:ln>
                            <a:noFill/>
                          </a:ln>
                        </pic:spPr>
                      </pic:pic>
                    </a:graphicData>
                  </a:graphic>
                </wp:inline>
              </w:drawing>
            </w:r>
          </w:p>
        </w:tc>
        <w:tc>
          <w:tcPr>
            <w:tcW w:w="0" w:type="auto"/>
            <w:vAlign w:val="center"/>
            <w:hideMark/>
          </w:tcPr>
          <w:p w:rsidR="00D56918" w:rsidRPr="00D56918" w:rsidRDefault="00D56918" w:rsidP="00D56918">
            <w:pPr>
              <w:bidi/>
              <w:spacing w:after="0" w:line="240" w:lineRule="auto"/>
              <w:jc w:val="both"/>
              <w:rPr>
                <w:rFonts w:asciiTheme="majorBidi" w:eastAsia="Times New Roman" w:hAnsiTheme="majorBidi" w:cstheme="majorBidi"/>
                <w:sz w:val="28"/>
                <w:szCs w:val="28"/>
                <w:lang w:eastAsia="fr-FR"/>
              </w:rPr>
            </w:pPr>
            <w:r w:rsidRPr="00D56918">
              <w:rPr>
                <w:rFonts w:asciiTheme="majorBidi" w:eastAsia="Times New Roman" w:hAnsiTheme="majorBidi" w:cstheme="majorBidi"/>
                <w:noProof/>
                <w:color w:val="0000FF"/>
                <w:sz w:val="28"/>
                <w:szCs w:val="28"/>
                <w:lang w:eastAsia="fr-FR"/>
              </w:rPr>
              <w:drawing>
                <wp:inline distT="0" distB="0" distL="0" distR="0" wp14:anchorId="4A2CB125" wp14:editId="2F94C636">
                  <wp:extent cx="363220" cy="303530"/>
                  <wp:effectExtent l="0" t="0" r="0" b="1270"/>
                  <wp:docPr id="1" name="Image 1" descr="جميع &#10;التعليقات">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جميع &#10;التعليقات">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3220" cy="303530"/>
                          </a:xfrm>
                          <a:prstGeom prst="rect">
                            <a:avLst/>
                          </a:prstGeom>
                          <a:noFill/>
                          <a:ln>
                            <a:noFill/>
                          </a:ln>
                        </pic:spPr>
                      </pic:pic>
                    </a:graphicData>
                  </a:graphic>
                </wp:inline>
              </w:drawing>
            </w:r>
          </w:p>
        </w:tc>
      </w:tr>
    </w:tbl>
    <w:p w:rsidR="00D56918" w:rsidRPr="00D56918" w:rsidRDefault="00D56918" w:rsidP="00D56918">
      <w:pPr>
        <w:bidi/>
        <w:spacing w:before="100" w:beforeAutospacing="1" w:after="100" w:afterAutospacing="1" w:line="240" w:lineRule="auto"/>
        <w:jc w:val="both"/>
        <w:rPr>
          <w:rFonts w:asciiTheme="majorBidi" w:eastAsia="Times New Roman" w:hAnsiTheme="majorBidi" w:cstheme="majorBidi"/>
          <w:sz w:val="28"/>
          <w:szCs w:val="28"/>
          <w:lang w:eastAsia="fr-FR"/>
        </w:rPr>
      </w:pPr>
      <w:r w:rsidRPr="00D56918">
        <w:rPr>
          <w:rFonts w:asciiTheme="majorBidi" w:eastAsia="Times New Roman" w:hAnsiTheme="majorBidi" w:cstheme="majorBidi"/>
          <w:sz w:val="28"/>
          <w:szCs w:val="28"/>
          <w:rtl/>
          <w:lang w:eastAsia="fr-FR"/>
        </w:rPr>
        <w:t>تنشط في الوسط الشيعي حركة فكرية جريئة تجاوزت المألوف وتخطت حواجز التحريم والخطوط الحمر وتحدت "فيتو" السائد فكريا ودينيا على مستوى المؤسسة الدينية وعلى مستوى الرأي العام الديني في آن معا، إنها حركة طموحة ومتمردة تناولت القضايا الفكرية الدينية في مجالات معرفية عديدة فلسفيا وتاريخيا وفقهيا وحتى عقديا</w:t>
      </w:r>
      <w:r w:rsidRPr="00D56918">
        <w:rPr>
          <w:rFonts w:asciiTheme="majorBidi" w:eastAsia="Times New Roman" w:hAnsiTheme="majorBidi" w:cstheme="majorBidi"/>
          <w:sz w:val="28"/>
          <w:szCs w:val="28"/>
          <w:lang w:eastAsia="fr-FR"/>
        </w:rPr>
        <w:t xml:space="preserve">. </w:t>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lang w:eastAsia="fr-FR"/>
        </w:rPr>
        <w:br/>
      </w:r>
      <w:proofErr w:type="gramStart"/>
      <w:r w:rsidRPr="00D56918">
        <w:rPr>
          <w:rFonts w:asciiTheme="majorBidi" w:eastAsia="Times New Roman" w:hAnsiTheme="majorBidi" w:cstheme="majorBidi"/>
          <w:sz w:val="28"/>
          <w:szCs w:val="28"/>
          <w:rtl/>
          <w:lang w:eastAsia="fr-FR"/>
        </w:rPr>
        <w:t>كانت</w:t>
      </w:r>
      <w:proofErr w:type="gramEnd"/>
      <w:r w:rsidRPr="00D56918">
        <w:rPr>
          <w:rFonts w:asciiTheme="majorBidi" w:eastAsia="Times New Roman" w:hAnsiTheme="majorBidi" w:cstheme="majorBidi"/>
          <w:sz w:val="28"/>
          <w:szCs w:val="28"/>
          <w:rtl/>
          <w:lang w:eastAsia="fr-FR"/>
        </w:rPr>
        <w:t xml:space="preserve"> بؤرة هذا النشاط اتجاه فكري واعد يشرق علينا من الضفة الشرقية لخليجنا العربي، فهناك في إيران ثمة إنتاج ثقافي وفكري خصب يعادل أو يفوق بلد عريق في الفلسفة والفكر والأدب كفرنسا. هذا السعار الثقافي وإن كان عصيا حتى الآن على اقتحام حصون المؤسسات العلمية الكلاسيكية التي تقودها الحوزات الدينية إلا أنه أحرز تقدما لافتا في قراءة الدين بوصفه ظاهرة تاريخية وهي العملية التي لاتزال مستبعدة ومحاصرة ضمن سياج "المستحيل التفكير فيه" في الحوزة العلمية فضلا عن عموم الأفراد والمجتمعات التي لم تزل تنظر للوجود بأسره بمرآة دينية مصقولة بأدوات تراثية "غير صالحة للاستخدام</w:t>
      </w:r>
      <w:r w:rsidRPr="00D56918">
        <w:rPr>
          <w:rFonts w:asciiTheme="majorBidi" w:eastAsia="Times New Roman" w:hAnsiTheme="majorBidi" w:cstheme="majorBidi"/>
          <w:sz w:val="28"/>
          <w:szCs w:val="28"/>
          <w:lang w:eastAsia="fr-FR"/>
        </w:rPr>
        <w:t>".</w:t>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rtl/>
          <w:lang w:eastAsia="fr-FR"/>
        </w:rPr>
        <w:t>استمات التراثيون كثيرا في محاولة إجهاض هذه الحركة برصاص التكفير والتصفية المعنوية والطرد من عنايتهم وحظوتهم بتصويب اللعنات على الوجوه البارزة في هذه الحركة بل ونفيهم إلى "أرض الشيطان"، لكنهم -وإن تمكنوا من حجب الأتباع المتعطشين لكل جديد يشبع فيهم نهم المعرفة- لم ينجحوا تماما في خنق هذه الأصوات الإصلاحية المتنامية التي بدأت في طروحاتها النقدية والإشكالية رغم صراخ أهل الجمود هنا أو هناك</w:t>
      </w:r>
      <w:r w:rsidRPr="00D56918">
        <w:rPr>
          <w:rFonts w:asciiTheme="majorBidi" w:eastAsia="Times New Roman" w:hAnsiTheme="majorBidi" w:cstheme="majorBidi"/>
          <w:sz w:val="28"/>
          <w:szCs w:val="28"/>
          <w:lang w:eastAsia="fr-FR"/>
        </w:rPr>
        <w:t xml:space="preserve">.. </w:t>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rtl/>
          <w:lang w:eastAsia="fr-FR"/>
        </w:rPr>
        <w:t xml:space="preserve">فمن شريعتي في جوقة أفكاره الإصلاحية والتي استهدفت </w:t>
      </w:r>
      <w:proofErr w:type="spellStart"/>
      <w:r w:rsidRPr="00D56918">
        <w:rPr>
          <w:rFonts w:asciiTheme="majorBidi" w:eastAsia="Times New Roman" w:hAnsiTheme="majorBidi" w:cstheme="majorBidi"/>
          <w:sz w:val="28"/>
          <w:szCs w:val="28"/>
          <w:rtl/>
          <w:lang w:eastAsia="fr-FR"/>
        </w:rPr>
        <w:t>الأكليروس</w:t>
      </w:r>
      <w:proofErr w:type="spellEnd"/>
      <w:r w:rsidRPr="00D56918">
        <w:rPr>
          <w:rFonts w:asciiTheme="majorBidi" w:eastAsia="Times New Roman" w:hAnsiTheme="majorBidi" w:cstheme="majorBidi"/>
          <w:sz w:val="28"/>
          <w:szCs w:val="28"/>
          <w:rtl/>
          <w:lang w:eastAsia="fr-FR"/>
        </w:rPr>
        <w:t xml:space="preserve"> الديني بوصفه عائقا أمام أي مشروع نهضوي، إلى عبد الكريم </w:t>
      </w:r>
      <w:proofErr w:type="spellStart"/>
      <w:r w:rsidRPr="00D56918">
        <w:rPr>
          <w:rFonts w:asciiTheme="majorBidi" w:eastAsia="Times New Roman" w:hAnsiTheme="majorBidi" w:cstheme="majorBidi"/>
          <w:sz w:val="28"/>
          <w:szCs w:val="28"/>
          <w:rtl/>
          <w:lang w:eastAsia="fr-FR"/>
        </w:rPr>
        <w:t>سروش</w:t>
      </w:r>
      <w:proofErr w:type="spellEnd"/>
      <w:r w:rsidRPr="00D56918">
        <w:rPr>
          <w:rFonts w:asciiTheme="majorBidi" w:eastAsia="Times New Roman" w:hAnsiTheme="majorBidi" w:cstheme="majorBidi"/>
          <w:sz w:val="28"/>
          <w:szCs w:val="28"/>
          <w:rtl/>
          <w:lang w:eastAsia="fr-FR"/>
        </w:rPr>
        <w:t xml:space="preserve"> صاحب نظرية القبض والبسط الذي ترجم أحدث النظريات الفلسفية التي تقوم عليها الحداثة ووظفها في نقد البنى الفكرية الدينية السائدة ليعبد الطريق أمام نسبية القراءة البشرية للدين، إلى </w:t>
      </w:r>
      <w:proofErr w:type="spellStart"/>
      <w:r w:rsidRPr="00D56918">
        <w:rPr>
          <w:rFonts w:asciiTheme="majorBidi" w:eastAsia="Times New Roman" w:hAnsiTheme="majorBidi" w:cstheme="majorBidi"/>
          <w:sz w:val="28"/>
          <w:szCs w:val="28"/>
          <w:rtl/>
          <w:lang w:eastAsia="fr-FR"/>
        </w:rPr>
        <w:t>شبستري</w:t>
      </w:r>
      <w:proofErr w:type="spellEnd"/>
      <w:r w:rsidRPr="00D56918">
        <w:rPr>
          <w:rFonts w:asciiTheme="majorBidi" w:eastAsia="Times New Roman" w:hAnsiTheme="majorBidi" w:cstheme="majorBidi"/>
          <w:sz w:val="28"/>
          <w:szCs w:val="28"/>
          <w:rtl/>
          <w:lang w:eastAsia="fr-FR"/>
        </w:rPr>
        <w:t xml:space="preserve"> الذي دعا إلى إدماج الفكر الغربي المعاصر في الدراسات </w:t>
      </w:r>
      <w:proofErr w:type="spellStart"/>
      <w:r w:rsidRPr="00D56918">
        <w:rPr>
          <w:rFonts w:asciiTheme="majorBidi" w:eastAsia="Times New Roman" w:hAnsiTheme="majorBidi" w:cstheme="majorBidi"/>
          <w:sz w:val="28"/>
          <w:szCs w:val="28"/>
          <w:rtl/>
          <w:lang w:eastAsia="fr-FR"/>
        </w:rPr>
        <w:t>الحوزوية</w:t>
      </w:r>
      <w:proofErr w:type="spellEnd"/>
      <w:r w:rsidRPr="00D56918">
        <w:rPr>
          <w:rFonts w:asciiTheme="majorBidi" w:eastAsia="Times New Roman" w:hAnsiTheme="majorBidi" w:cstheme="majorBidi"/>
          <w:sz w:val="28"/>
          <w:szCs w:val="28"/>
          <w:rtl/>
          <w:lang w:eastAsia="fr-FR"/>
        </w:rPr>
        <w:t xml:space="preserve"> الدينية كما أدمج سابقا التراث الإغريقي، وهو صاحب المشروع التطبيقي للمنهج التأويلي الحديث الذي أخضع النص الديني رغم تعاليه وقداسته لمعطياته وأدواته، وغيرهم من المثقفين والمفكرين لا أستثني منهم المفكر الدكتور محمد خاتمي رجل الفكر والسياسة ورائد مشروع حوار الحضارات، وعطاء الله </w:t>
      </w:r>
      <w:proofErr w:type="spellStart"/>
      <w:r w:rsidRPr="00D56918">
        <w:rPr>
          <w:rFonts w:asciiTheme="majorBidi" w:eastAsia="Times New Roman" w:hAnsiTheme="majorBidi" w:cstheme="majorBidi"/>
          <w:sz w:val="28"/>
          <w:szCs w:val="28"/>
          <w:rtl/>
          <w:lang w:eastAsia="fr-FR"/>
        </w:rPr>
        <w:t>مهاجراني</w:t>
      </w:r>
      <w:proofErr w:type="spellEnd"/>
      <w:r w:rsidRPr="00D56918">
        <w:rPr>
          <w:rFonts w:asciiTheme="majorBidi" w:eastAsia="Times New Roman" w:hAnsiTheme="majorBidi" w:cstheme="majorBidi"/>
          <w:sz w:val="28"/>
          <w:szCs w:val="28"/>
          <w:rtl/>
          <w:lang w:eastAsia="fr-FR"/>
        </w:rPr>
        <w:t xml:space="preserve">، وهاشم </w:t>
      </w:r>
      <w:proofErr w:type="spellStart"/>
      <w:r w:rsidRPr="00D56918">
        <w:rPr>
          <w:rFonts w:asciiTheme="majorBidi" w:eastAsia="Times New Roman" w:hAnsiTheme="majorBidi" w:cstheme="majorBidi"/>
          <w:sz w:val="28"/>
          <w:szCs w:val="28"/>
          <w:rtl/>
          <w:lang w:eastAsia="fr-FR"/>
        </w:rPr>
        <w:t>آغاجري</w:t>
      </w:r>
      <w:proofErr w:type="spellEnd"/>
      <w:r w:rsidRPr="00D56918">
        <w:rPr>
          <w:rFonts w:asciiTheme="majorBidi" w:eastAsia="Times New Roman" w:hAnsiTheme="majorBidi" w:cstheme="majorBidi"/>
          <w:sz w:val="28"/>
          <w:szCs w:val="28"/>
          <w:rtl/>
          <w:lang w:eastAsia="fr-FR"/>
        </w:rPr>
        <w:t xml:space="preserve"> المثقف المثير للجدل، ومحسن </w:t>
      </w:r>
      <w:proofErr w:type="spellStart"/>
      <w:r w:rsidRPr="00D56918">
        <w:rPr>
          <w:rFonts w:asciiTheme="majorBidi" w:eastAsia="Times New Roman" w:hAnsiTheme="majorBidi" w:cstheme="majorBidi"/>
          <w:sz w:val="28"/>
          <w:szCs w:val="28"/>
          <w:rtl/>
          <w:lang w:eastAsia="fr-FR"/>
        </w:rPr>
        <w:t>كاديفار</w:t>
      </w:r>
      <w:proofErr w:type="spellEnd"/>
      <w:r w:rsidRPr="00D56918">
        <w:rPr>
          <w:rFonts w:asciiTheme="majorBidi" w:eastAsia="Times New Roman" w:hAnsiTheme="majorBidi" w:cstheme="majorBidi"/>
          <w:sz w:val="28"/>
          <w:szCs w:val="28"/>
          <w:rtl/>
          <w:lang w:eastAsia="fr-FR"/>
        </w:rPr>
        <w:t xml:space="preserve">، وأخيرا وليس آخرا المفكر الممتع دائما في كتاباته الدكتور مصطفى ملكيان الذي صدح بالمعنوية كدين </w:t>
      </w:r>
      <w:proofErr w:type="spellStart"/>
      <w:r w:rsidRPr="00D56918">
        <w:rPr>
          <w:rFonts w:asciiTheme="majorBidi" w:eastAsia="Times New Roman" w:hAnsiTheme="majorBidi" w:cstheme="majorBidi"/>
          <w:sz w:val="28"/>
          <w:szCs w:val="28"/>
          <w:rtl/>
          <w:lang w:eastAsia="fr-FR"/>
        </w:rPr>
        <w:t>معقلن</w:t>
      </w:r>
      <w:proofErr w:type="spellEnd"/>
      <w:r w:rsidRPr="00D56918">
        <w:rPr>
          <w:rFonts w:asciiTheme="majorBidi" w:eastAsia="Times New Roman" w:hAnsiTheme="majorBidi" w:cstheme="majorBidi"/>
          <w:sz w:val="28"/>
          <w:szCs w:val="28"/>
          <w:rtl/>
          <w:lang w:eastAsia="fr-FR"/>
        </w:rPr>
        <w:t xml:space="preserve"> لا يتصادم مع الحداثة</w:t>
      </w:r>
      <w:r w:rsidRPr="00D56918">
        <w:rPr>
          <w:rFonts w:asciiTheme="majorBidi" w:eastAsia="Times New Roman" w:hAnsiTheme="majorBidi" w:cstheme="majorBidi"/>
          <w:sz w:val="28"/>
          <w:szCs w:val="28"/>
          <w:lang w:eastAsia="fr-FR"/>
        </w:rPr>
        <w:t xml:space="preserve">.. </w:t>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rtl/>
          <w:lang w:eastAsia="fr-FR"/>
        </w:rPr>
        <w:t>المفكر ملكيان من أبرز الوجوه المثيرة للجدل في المشهد الثقافي الإيراني له آراء نقدية عديدة ليس أهمها أفكاره حول فلسفة الفقه، أو "مسبقات الفقه" التي يمكن عنونتها بعنوانين أساسيين</w:t>
      </w:r>
      <w:r w:rsidRPr="00D56918">
        <w:rPr>
          <w:rFonts w:asciiTheme="majorBidi" w:eastAsia="Times New Roman" w:hAnsiTheme="majorBidi" w:cstheme="majorBidi"/>
          <w:sz w:val="28"/>
          <w:szCs w:val="28"/>
          <w:lang w:eastAsia="fr-FR"/>
        </w:rPr>
        <w:t xml:space="preserve">: </w:t>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rtl/>
          <w:lang w:eastAsia="fr-FR"/>
        </w:rPr>
        <w:t>الأول: ذلك المنهج الذي يُخضع الفقه للدراسة بصفته ظاهرة تاريخية واجتماعية</w:t>
      </w:r>
      <w:r w:rsidRPr="00D56918">
        <w:rPr>
          <w:rFonts w:asciiTheme="majorBidi" w:eastAsia="Times New Roman" w:hAnsiTheme="majorBidi" w:cstheme="majorBidi"/>
          <w:sz w:val="28"/>
          <w:szCs w:val="28"/>
          <w:lang w:eastAsia="fr-FR"/>
        </w:rPr>
        <w:t xml:space="preserve">. </w:t>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rtl/>
          <w:lang w:eastAsia="fr-FR"/>
        </w:rPr>
        <w:t xml:space="preserve">الثاني: علم معرفة </w:t>
      </w:r>
      <w:proofErr w:type="gramStart"/>
      <w:r w:rsidRPr="00D56918">
        <w:rPr>
          <w:rFonts w:asciiTheme="majorBidi" w:eastAsia="Times New Roman" w:hAnsiTheme="majorBidi" w:cstheme="majorBidi"/>
          <w:sz w:val="28"/>
          <w:szCs w:val="28"/>
          <w:rtl/>
          <w:lang w:eastAsia="fr-FR"/>
        </w:rPr>
        <w:t>الفقه</w:t>
      </w:r>
      <w:proofErr w:type="gramEnd"/>
      <w:r w:rsidRPr="00D56918">
        <w:rPr>
          <w:rFonts w:asciiTheme="majorBidi" w:eastAsia="Times New Roman" w:hAnsiTheme="majorBidi" w:cstheme="majorBidi"/>
          <w:sz w:val="28"/>
          <w:szCs w:val="28"/>
          <w:rtl/>
          <w:lang w:eastAsia="fr-FR"/>
        </w:rPr>
        <w:t>، وهو العلم الذي يهتم بالمباني والمرتكزات والأساسيات المعرفية والفلسفية والكلامية للفقه</w:t>
      </w:r>
      <w:r w:rsidRPr="00D56918">
        <w:rPr>
          <w:rFonts w:asciiTheme="majorBidi" w:eastAsia="Times New Roman" w:hAnsiTheme="majorBidi" w:cstheme="majorBidi"/>
          <w:sz w:val="28"/>
          <w:szCs w:val="28"/>
          <w:lang w:eastAsia="fr-FR"/>
        </w:rPr>
        <w:t xml:space="preserve">. </w:t>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rtl/>
          <w:lang w:eastAsia="fr-FR"/>
        </w:rPr>
        <w:t xml:space="preserve">وإذا كان موضوع علم الفقه دراسة الأحكام الشرعية أو لنقل استخراجها من النصوص أو المصادر التشريعية المجازة فإن موضوع فلسفة الفقه هو الفقه ذاته، ولذلك فهي من معارف </w:t>
      </w:r>
      <w:r w:rsidRPr="00D56918">
        <w:rPr>
          <w:rFonts w:asciiTheme="majorBidi" w:eastAsia="Times New Roman" w:hAnsiTheme="majorBidi" w:cstheme="majorBidi"/>
          <w:sz w:val="28"/>
          <w:szCs w:val="28"/>
          <w:rtl/>
          <w:lang w:eastAsia="fr-FR"/>
        </w:rPr>
        <w:lastRenderedPageBreak/>
        <w:t xml:space="preserve">الدرجة الثانية فيما يقع الفقه ضمن معارف الدرجة الأولى، ولتجنب الخلط بين هذين الصنفين يجب التركيز على أن الأولى خارجية والثانية داخلية، الدكتور عبد الكريم </w:t>
      </w:r>
      <w:proofErr w:type="spellStart"/>
      <w:r w:rsidRPr="00D56918">
        <w:rPr>
          <w:rFonts w:asciiTheme="majorBidi" w:eastAsia="Times New Roman" w:hAnsiTheme="majorBidi" w:cstheme="majorBidi"/>
          <w:sz w:val="28"/>
          <w:szCs w:val="28"/>
          <w:rtl/>
          <w:lang w:eastAsia="fr-FR"/>
        </w:rPr>
        <w:t>سروش</w:t>
      </w:r>
      <w:proofErr w:type="spellEnd"/>
      <w:r w:rsidRPr="00D56918">
        <w:rPr>
          <w:rFonts w:asciiTheme="majorBidi" w:eastAsia="Times New Roman" w:hAnsiTheme="majorBidi" w:cstheme="majorBidi"/>
          <w:sz w:val="28"/>
          <w:szCs w:val="28"/>
          <w:rtl/>
          <w:lang w:eastAsia="fr-FR"/>
        </w:rPr>
        <w:t xml:space="preserve"> يضع </w:t>
      </w:r>
      <w:proofErr w:type="spellStart"/>
      <w:r w:rsidRPr="00D56918">
        <w:rPr>
          <w:rFonts w:asciiTheme="majorBidi" w:eastAsia="Times New Roman" w:hAnsiTheme="majorBidi" w:cstheme="majorBidi"/>
          <w:sz w:val="28"/>
          <w:szCs w:val="28"/>
          <w:rtl/>
          <w:lang w:eastAsia="fr-FR"/>
        </w:rPr>
        <w:t>تمايزات</w:t>
      </w:r>
      <w:proofErr w:type="spellEnd"/>
      <w:r w:rsidRPr="00D56918">
        <w:rPr>
          <w:rFonts w:asciiTheme="majorBidi" w:eastAsia="Times New Roman" w:hAnsiTheme="majorBidi" w:cstheme="majorBidi"/>
          <w:sz w:val="28"/>
          <w:szCs w:val="28"/>
          <w:rtl/>
          <w:lang w:eastAsia="fr-FR"/>
        </w:rPr>
        <w:t xml:space="preserve"> أساسية تكشف توهم وجود تناقض وتعارض بين فلسفة الفقه ذات الطبيعة النقدية وبين الشريعة والفقه المترشح عنها، وأبرز هذه الفروق هو أن علم معرفة الدين فرع من فروع نظرية المعرفة التي لها سيرورة وتطور مما يعني ضرورة مواكبة المستجدات العلمية مهما كان مصدرها، فالمعرفة ملك عمومي وليست ملكا خاصا</w:t>
      </w:r>
      <w:r w:rsidRPr="00D56918">
        <w:rPr>
          <w:rFonts w:asciiTheme="majorBidi" w:eastAsia="Times New Roman" w:hAnsiTheme="majorBidi" w:cstheme="majorBidi"/>
          <w:sz w:val="28"/>
          <w:szCs w:val="28"/>
          <w:lang w:eastAsia="fr-FR"/>
        </w:rPr>
        <w:t xml:space="preserve">!! </w:t>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rtl/>
          <w:lang w:eastAsia="fr-FR"/>
        </w:rPr>
        <w:t>هذه المقاربة لفلسفة الفقه –كما هي عند ملكيان- تتمحور في عدة محاور وخطوط عريضة وأساسية نحاول أن نوجزها للقارئ الكريم، على الشكل التالي</w:t>
      </w:r>
      <w:r w:rsidRPr="00D56918">
        <w:rPr>
          <w:rFonts w:asciiTheme="majorBidi" w:eastAsia="Times New Roman" w:hAnsiTheme="majorBidi" w:cstheme="majorBidi"/>
          <w:sz w:val="28"/>
          <w:szCs w:val="28"/>
          <w:lang w:eastAsia="fr-FR"/>
        </w:rPr>
        <w:t>:</w:t>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rtl/>
          <w:lang w:eastAsia="fr-FR"/>
        </w:rPr>
        <w:t>إن موضوع فلسفة الفقه يتأرجح بين علم الأصول وعلم الكلام وقضايا أخرى لم تدون حتى الآن، لهذا يلح ملكيان على الفقيه باتخاذ موقف محدد حيال كل واحدة من تلك القضايا</w:t>
      </w:r>
      <w:r w:rsidRPr="00D56918">
        <w:rPr>
          <w:rFonts w:asciiTheme="majorBidi" w:eastAsia="Times New Roman" w:hAnsiTheme="majorBidi" w:cstheme="majorBidi"/>
          <w:sz w:val="28"/>
          <w:szCs w:val="28"/>
          <w:lang w:eastAsia="fr-FR"/>
        </w:rPr>
        <w:t xml:space="preserve">. </w:t>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rtl/>
          <w:lang w:eastAsia="fr-FR"/>
        </w:rPr>
        <w:t xml:space="preserve">أولا: المسبقات </w:t>
      </w:r>
      <w:proofErr w:type="spellStart"/>
      <w:r w:rsidRPr="00D56918">
        <w:rPr>
          <w:rFonts w:asciiTheme="majorBidi" w:eastAsia="Times New Roman" w:hAnsiTheme="majorBidi" w:cstheme="majorBidi"/>
          <w:sz w:val="28"/>
          <w:szCs w:val="28"/>
          <w:rtl/>
          <w:lang w:eastAsia="fr-FR"/>
        </w:rPr>
        <w:t>التيولوجية</w:t>
      </w:r>
      <w:proofErr w:type="spellEnd"/>
      <w:r w:rsidRPr="00D56918">
        <w:rPr>
          <w:rFonts w:asciiTheme="majorBidi" w:eastAsia="Times New Roman" w:hAnsiTheme="majorBidi" w:cstheme="majorBidi"/>
          <w:sz w:val="28"/>
          <w:szCs w:val="28"/>
          <w:rtl/>
          <w:lang w:eastAsia="fr-FR"/>
        </w:rPr>
        <w:t xml:space="preserve"> وهي التي تشمل جميع أبعاد الرؤية الكونية الدينية وكيفية تبريرها والدفاع عنها أمام الشبهات والإشكالات المثارة في الوسط الفلسفي والعلمي، كما تضم المنظومة العقائدية للإطار المذهبي الخاص للتشيع كالعصمة وتحديد نطاقها وحدودها وكل ما يمت بصلة لما يسمى "بقداسة النص" وكل الجوانب المتعلقة بالنصوص الدينية بما لها من صفة </w:t>
      </w:r>
      <w:proofErr w:type="spellStart"/>
      <w:r w:rsidRPr="00D56918">
        <w:rPr>
          <w:rFonts w:asciiTheme="majorBidi" w:eastAsia="Times New Roman" w:hAnsiTheme="majorBidi" w:cstheme="majorBidi"/>
          <w:sz w:val="28"/>
          <w:szCs w:val="28"/>
          <w:rtl/>
          <w:lang w:eastAsia="fr-FR"/>
        </w:rPr>
        <w:t>وحيانية</w:t>
      </w:r>
      <w:proofErr w:type="spellEnd"/>
      <w:r w:rsidRPr="00D56918">
        <w:rPr>
          <w:rFonts w:asciiTheme="majorBidi" w:eastAsia="Times New Roman" w:hAnsiTheme="majorBidi" w:cstheme="majorBidi"/>
          <w:sz w:val="28"/>
          <w:szCs w:val="28"/>
          <w:rtl/>
          <w:lang w:eastAsia="fr-FR"/>
        </w:rPr>
        <w:t>، وغير ذلك من قضايا كلامية، كل هذه الإجراءات تقع ضمن مهمة لم تنجز حتى الآن في الثقافة والفكر الإسلاميين</w:t>
      </w:r>
      <w:r w:rsidRPr="00D56918">
        <w:rPr>
          <w:rFonts w:asciiTheme="majorBidi" w:eastAsia="Times New Roman" w:hAnsiTheme="majorBidi" w:cstheme="majorBidi"/>
          <w:sz w:val="28"/>
          <w:szCs w:val="28"/>
          <w:lang w:eastAsia="fr-FR"/>
        </w:rPr>
        <w:t xml:space="preserve">! </w:t>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rtl/>
          <w:lang w:eastAsia="fr-FR"/>
        </w:rPr>
        <w:t>ثانيا: المسبقات الأصولية وكل ما من شأنه أن يمنح الجزم والوثوق "بالنص المقدس" كوثاقة النص وعلم الرجال والحديث والتواتر وغيرها من المسائل ذات الصلة بمناهج ومعطيات العلوم التاريخية التي لابد أن يتأثر بها الفقيه ويتفاعل مع منجزاتها الحديثة</w:t>
      </w:r>
      <w:r w:rsidRPr="00D56918">
        <w:rPr>
          <w:rFonts w:asciiTheme="majorBidi" w:eastAsia="Times New Roman" w:hAnsiTheme="majorBidi" w:cstheme="majorBidi"/>
          <w:sz w:val="28"/>
          <w:szCs w:val="28"/>
          <w:lang w:eastAsia="fr-FR"/>
        </w:rPr>
        <w:t xml:space="preserve">.. </w:t>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rtl/>
          <w:lang w:eastAsia="fr-FR"/>
        </w:rPr>
        <w:t xml:space="preserve">هنا </w:t>
      </w:r>
      <w:proofErr w:type="spellStart"/>
      <w:r w:rsidRPr="00D56918">
        <w:rPr>
          <w:rFonts w:asciiTheme="majorBidi" w:eastAsia="Times New Roman" w:hAnsiTheme="majorBidi" w:cstheme="majorBidi"/>
          <w:sz w:val="28"/>
          <w:szCs w:val="28"/>
          <w:rtl/>
          <w:lang w:eastAsia="fr-FR"/>
        </w:rPr>
        <w:t>يتسائل</w:t>
      </w:r>
      <w:proofErr w:type="spellEnd"/>
      <w:r w:rsidRPr="00D56918">
        <w:rPr>
          <w:rFonts w:asciiTheme="majorBidi" w:eastAsia="Times New Roman" w:hAnsiTheme="majorBidi" w:cstheme="majorBidi"/>
          <w:sz w:val="28"/>
          <w:szCs w:val="28"/>
          <w:rtl/>
          <w:lang w:eastAsia="fr-FR"/>
        </w:rPr>
        <w:t xml:space="preserve"> ملكيان بمرارة عن آليات توثيق الرجال بالطرق المعروفة في الجرح والتعديل حيث يشكك </w:t>
      </w:r>
      <w:proofErr w:type="spellStart"/>
      <w:r w:rsidRPr="00D56918">
        <w:rPr>
          <w:rFonts w:asciiTheme="majorBidi" w:eastAsia="Times New Roman" w:hAnsiTheme="majorBidi" w:cstheme="majorBidi"/>
          <w:sz w:val="28"/>
          <w:szCs w:val="28"/>
          <w:rtl/>
          <w:lang w:eastAsia="fr-FR"/>
        </w:rPr>
        <w:t>بعلميتها</w:t>
      </w:r>
      <w:proofErr w:type="spellEnd"/>
      <w:r w:rsidRPr="00D56918">
        <w:rPr>
          <w:rFonts w:asciiTheme="majorBidi" w:eastAsia="Times New Roman" w:hAnsiTheme="majorBidi" w:cstheme="majorBidi"/>
          <w:sz w:val="28"/>
          <w:szCs w:val="28"/>
          <w:rtl/>
          <w:lang w:eastAsia="fr-FR"/>
        </w:rPr>
        <w:t xml:space="preserve"> وصحتها، فالعدالة والانتماء للمذهب </w:t>
      </w:r>
      <w:proofErr w:type="spellStart"/>
      <w:r w:rsidRPr="00D56918">
        <w:rPr>
          <w:rFonts w:asciiTheme="majorBidi" w:eastAsia="Times New Roman" w:hAnsiTheme="majorBidi" w:cstheme="majorBidi"/>
          <w:sz w:val="28"/>
          <w:szCs w:val="28"/>
          <w:rtl/>
          <w:lang w:eastAsia="fr-FR"/>
        </w:rPr>
        <w:t>الإمامي</w:t>
      </w:r>
      <w:proofErr w:type="spellEnd"/>
      <w:r w:rsidRPr="00D56918">
        <w:rPr>
          <w:rFonts w:asciiTheme="majorBidi" w:eastAsia="Times New Roman" w:hAnsiTheme="majorBidi" w:cstheme="majorBidi"/>
          <w:sz w:val="28"/>
          <w:szCs w:val="28"/>
          <w:rtl/>
          <w:lang w:eastAsia="fr-FR"/>
        </w:rPr>
        <w:t xml:space="preserve"> –مثلا- لا يمكن اعتماده كمرجح أو معيار في اعتماد السند خشية أن يؤدي هذا الاشتراك إلى نزوعهم وانزلاقهم لمتطلبات الميول المصلحية والنفسية المشتركة</w:t>
      </w:r>
      <w:r w:rsidRPr="00D56918">
        <w:rPr>
          <w:rFonts w:asciiTheme="majorBidi" w:eastAsia="Times New Roman" w:hAnsiTheme="majorBidi" w:cstheme="majorBidi"/>
          <w:sz w:val="28"/>
          <w:szCs w:val="28"/>
          <w:lang w:eastAsia="fr-FR"/>
        </w:rPr>
        <w:t xml:space="preserve">.. </w:t>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rtl/>
          <w:lang w:eastAsia="fr-FR"/>
        </w:rPr>
        <w:t xml:space="preserve">ثالثا: المسبقات الخاصة بمناهج الاستدلال وأساليبه، وتحديد المفاهيم الفقهية كالمصلحة والعسر والحرج والضرر والإضرار </w:t>
      </w:r>
      <w:r w:rsidRPr="00D56918">
        <w:rPr>
          <w:rFonts w:asciiTheme="majorBidi" w:eastAsia="Times New Roman" w:hAnsiTheme="majorBidi" w:cstheme="majorBidi"/>
          <w:sz w:val="28"/>
          <w:szCs w:val="28"/>
          <w:lang w:eastAsia="fr-FR"/>
        </w:rPr>
        <w:t xml:space="preserve">.. </w:t>
      </w:r>
      <w:r w:rsidRPr="00D56918">
        <w:rPr>
          <w:rFonts w:asciiTheme="majorBidi" w:eastAsia="Times New Roman" w:hAnsiTheme="majorBidi" w:cstheme="majorBidi"/>
          <w:sz w:val="28"/>
          <w:szCs w:val="28"/>
          <w:rtl/>
          <w:lang w:eastAsia="fr-FR"/>
        </w:rPr>
        <w:t>الخ</w:t>
      </w:r>
      <w:r w:rsidRPr="00D56918">
        <w:rPr>
          <w:rFonts w:asciiTheme="majorBidi" w:eastAsia="Times New Roman" w:hAnsiTheme="majorBidi" w:cstheme="majorBidi"/>
          <w:sz w:val="28"/>
          <w:szCs w:val="28"/>
          <w:lang w:eastAsia="fr-FR"/>
        </w:rPr>
        <w:t xml:space="preserve">. </w:t>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rtl/>
          <w:lang w:eastAsia="fr-FR"/>
        </w:rPr>
        <w:t xml:space="preserve">رابعا: المسبقات </w:t>
      </w:r>
      <w:proofErr w:type="spellStart"/>
      <w:r w:rsidRPr="00D56918">
        <w:rPr>
          <w:rFonts w:asciiTheme="majorBidi" w:eastAsia="Times New Roman" w:hAnsiTheme="majorBidi" w:cstheme="majorBidi"/>
          <w:sz w:val="28"/>
          <w:szCs w:val="28"/>
          <w:rtl/>
          <w:lang w:eastAsia="fr-FR"/>
        </w:rPr>
        <w:t>الهرمنيوطيقية</w:t>
      </w:r>
      <w:proofErr w:type="spellEnd"/>
      <w:r w:rsidRPr="00D56918">
        <w:rPr>
          <w:rFonts w:asciiTheme="majorBidi" w:eastAsia="Times New Roman" w:hAnsiTheme="majorBidi" w:cstheme="majorBidi"/>
          <w:sz w:val="28"/>
          <w:szCs w:val="28"/>
          <w:rtl/>
          <w:lang w:eastAsia="fr-FR"/>
        </w:rPr>
        <w:t xml:space="preserve"> وهي كما يرى ملكيان أهم المسبقات والمفروضات الفقهية على الإطلاق، وهي تشمل تاريخية القرآن والسنة وفرز الجانب المحلي والخاص للأديان عن الجوانب التي يمكن تعميمها </w:t>
      </w:r>
      <w:proofErr w:type="spellStart"/>
      <w:r w:rsidRPr="00D56918">
        <w:rPr>
          <w:rFonts w:asciiTheme="majorBidi" w:eastAsia="Times New Roman" w:hAnsiTheme="majorBidi" w:cstheme="majorBidi"/>
          <w:sz w:val="28"/>
          <w:szCs w:val="28"/>
          <w:rtl/>
          <w:lang w:eastAsia="fr-FR"/>
        </w:rPr>
        <w:t>زمكانيا</w:t>
      </w:r>
      <w:proofErr w:type="spellEnd"/>
      <w:r w:rsidRPr="00D56918">
        <w:rPr>
          <w:rFonts w:asciiTheme="majorBidi" w:eastAsia="Times New Roman" w:hAnsiTheme="majorBidi" w:cstheme="majorBidi"/>
          <w:sz w:val="28"/>
          <w:szCs w:val="28"/>
          <w:rtl/>
          <w:lang w:eastAsia="fr-FR"/>
        </w:rPr>
        <w:t>، يقدم كاتبنا الجميل مثلا جميلا آخر حول ضرورة توفر الحس التاريخي للفقه، فحتى نفهم العلاقة الجدلية بين الدين والدنيا أو بين الدين والحداثة والتغيرات التاريخية دعونا نتصور المجتمع العربي في زمن الصدور بمثابة كتاب بينما الهوامش هي الدين ذاته، وبما أن إدراك وفهم الهامش لا يستقيم من دون فهم المتن، فمن الطبيعي إذاً أن تتوقف معرفة الدين على معرفة المجتمع آنذاك وظروفه وحيثياته</w:t>
      </w:r>
      <w:r w:rsidRPr="00D56918">
        <w:rPr>
          <w:rFonts w:asciiTheme="majorBidi" w:eastAsia="Times New Roman" w:hAnsiTheme="majorBidi" w:cstheme="majorBidi"/>
          <w:sz w:val="28"/>
          <w:szCs w:val="28"/>
          <w:lang w:eastAsia="fr-FR"/>
        </w:rPr>
        <w:t>.</w:t>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rtl/>
          <w:lang w:eastAsia="fr-FR"/>
        </w:rPr>
        <w:t xml:space="preserve">وفي هذا السياق تقع مديات الفقه ومجالات اهتمامه وكل مفروضات دائرة الفقه، والمفروضات الخاصة بمقاصد الشريعة التي لم تجد لها ترحيبا في العقل الفقهي الشيعي حتى هذه اللحظة مع أنها ستحدث تأثيرا كبيرا جدا خاصة في ظل توجهات فكرية ساهمت في الإطار السني بمحاولة </w:t>
      </w:r>
      <w:r w:rsidRPr="00D56918">
        <w:rPr>
          <w:rFonts w:asciiTheme="majorBidi" w:eastAsia="Times New Roman" w:hAnsiTheme="majorBidi" w:cstheme="majorBidi"/>
          <w:sz w:val="28"/>
          <w:szCs w:val="28"/>
          <w:rtl/>
          <w:lang w:eastAsia="fr-FR"/>
        </w:rPr>
        <w:lastRenderedPageBreak/>
        <w:t>إصلاح تلك المقاصد السائدة التي صاغها الشاطبي وتجاوزها –دون أن يلغها</w:t>
      </w:r>
      <w:r w:rsidRPr="00D56918">
        <w:rPr>
          <w:rFonts w:asciiTheme="majorBidi" w:eastAsia="Times New Roman" w:hAnsiTheme="majorBidi" w:cstheme="majorBidi"/>
          <w:sz w:val="28"/>
          <w:szCs w:val="28"/>
          <w:lang w:eastAsia="fr-FR"/>
        </w:rPr>
        <w:t xml:space="preserve">- </w:t>
      </w:r>
      <w:r w:rsidRPr="00D56918">
        <w:rPr>
          <w:rFonts w:asciiTheme="majorBidi" w:eastAsia="Times New Roman" w:hAnsiTheme="majorBidi" w:cstheme="majorBidi"/>
          <w:sz w:val="28"/>
          <w:szCs w:val="28"/>
          <w:rtl/>
          <w:lang w:eastAsia="fr-FR"/>
        </w:rPr>
        <w:t>المفكر المصري نصر حامد أبو زيد في مشروعه الطموح في نقد التراث الديني، حيث وضع العقلانية بوصفها نقيضا للجاهلية إلى جانب الحرية والعدل كأسس وكليات ومقاصد كلية للشريعة والنص الديني الإسلامي. لكن المؤسسة الفقهية السائدة في الحوزة اليوم لازالت ترفض مبدأ توظيف مقولات من خارج المذهب، مع أن المتابع لمسار وتطور الفقه الشيعي يلحظ بشكل جلي تأثره بمناخات علمية وتقنية خارج نطاقه، كشدة الأحكام وفكرة "الاحكام الخمسة" التي يرى ملكيان أن لها أصولا رواقية من التراث الفلسفي الإغريقي، كما أن علماء كبار بقامة العلامة الحلي وبن طاووس والشهيدين الأول والثاني وغيرهم قد استفادوا من علماء السنة في الحديث والدراية حتى أن ابن طاووس قد أدخل التصنيف الرباعي للحديث الذي وضعه علماء السنة في بنية الفقه الشيعي، رغم هذا كله آثرت الحوزة العلمية الانغلاق والانكفاء على الذات في كل مناهجها في حالة أشبه بالنرجسية وصنمية الذات</w:t>
      </w:r>
      <w:r w:rsidRPr="00D56918">
        <w:rPr>
          <w:rFonts w:asciiTheme="majorBidi" w:eastAsia="Times New Roman" w:hAnsiTheme="majorBidi" w:cstheme="majorBidi"/>
          <w:sz w:val="28"/>
          <w:szCs w:val="28"/>
          <w:lang w:eastAsia="fr-FR"/>
        </w:rPr>
        <w:t xml:space="preserve">. </w:t>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rtl/>
          <w:lang w:eastAsia="fr-FR"/>
        </w:rPr>
        <w:t xml:space="preserve">إن المنهج التاريخي والتأويلي في إطار فلسفة الفقه سيمنح الفقه قدرة التمييز بين أقوال وأفعال الرموز الدينيين </w:t>
      </w:r>
      <w:r w:rsidRPr="00D56918">
        <w:rPr>
          <w:rFonts w:asciiTheme="majorBidi" w:eastAsia="Times New Roman" w:hAnsiTheme="majorBidi" w:cstheme="majorBidi"/>
          <w:sz w:val="28"/>
          <w:szCs w:val="28"/>
          <w:lang w:eastAsia="fr-FR"/>
        </w:rPr>
        <w:t>(</w:t>
      </w:r>
      <w:r w:rsidRPr="00D56918">
        <w:rPr>
          <w:rFonts w:asciiTheme="majorBidi" w:eastAsia="Times New Roman" w:hAnsiTheme="majorBidi" w:cstheme="majorBidi"/>
          <w:sz w:val="28"/>
          <w:szCs w:val="28"/>
          <w:rtl/>
          <w:lang w:eastAsia="fr-FR"/>
        </w:rPr>
        <w:t xml:space="preserve">المعصومين) بصفتها تشريعا وبين طبائعهم الشخصية، فهل كل ما صدر عن هذا الإمام أو ذاك يجب أن تكون له دلالة دينية شمولية وأبدية متعالية على الزمان والمكان؟! يقول مصطفى ملكيان: ( لو أن المعصوم لبس ثوبا رصاصيا، فهل يمكن الاستنباط من ذلك على الأقل استحباب ارتداء هذا اللون من الثياب، أم يمكن القول أن ارتداء ثياب ذات لون رصاصي لا يدل سوى على رغبته الشخصية في ارتداء مثل هذا للون؟ </w:t>
      </w:r>
      <w:proofErr w:type="gramStart"/>
      <w:r w:rsidRPr="00D56918">
        <w:rPr>
          <w:rFonts w:asciiTheme="majorBidi" w:eastAsia="Times New Roman" w:hAnsiTheme="majorBidi" w:cstheme="majorBidi"/>
          <w:sz w:val="28"/>
          <w:szCs w:val="28"/>
          <w:rtl/>
          <w:lang w:eastAsia="fr-FR"/>
        </w:rPr>
        <w:t>وبالتالي</w:t>
      </w:r>
      <w:proofErr w:type="gramEnd"/>
      <w:r w:rsidRPr="00D56918">
        <w:rPr>
          <w:rFonts w:asciiTheme="majorBidi" w:eastAsia="Times New Roman" w:hAnsiTheme="majorBidi" w:cstheme="majorBidi"/>
          <w:sz w:val="28"/>
          <w:szCs w:val="28"/>
          <w:rtl/>
          <w:lang w:eastAsia="fr-FR"/>
        </w:rPr>
        <w:t xml:space="preserve"> لا يمكن وضع حكم استحبابي بناء على هذا.. </w:t>
      </w:r>
      <w:proofErr w:type="gramStart"/>
      <w:r w:rsidRPr="00D56918">
        <w:rPr>
          <w:rFonts w:asciiTheme="majorBidi" w:eastAsia="Times New Roman" w:hAnsiTheme="majorBidi" w:cstheme="majorBidi"/>
          <w:sz w:val="28"/>
          <w:szCs w:val="28"/>
          <w:rtl/>
          <w:lang w:eastAsia="fr-FR"/>
        </w:rPr>
        <w:t>هل</w:t>
      </w:r>
      <w:proofErr w:type="gramEnd"/>
      <w:r w:rsidRPr="00D56918">
        <w:rPr>
          <w:rFonts w:asciiTheme="majorBidi" w:eastAsia="Times New Roman" w:hAnsiTheme="majorBidi" w:cstheme="majorBidi"/>
          <w:sz w:val="28"/>
          <w:szCs w:val="28"/>
          <w:rtl/>
          <w:lang w:eastAsia="fr-FR"/>
        </w:rPr>
        <w:t xml:space="preserve"> يمكن القول أن كل ما يصدر عن المعصوم إنما يصدر عنه بصفته تجسيدا حيا للشريعة؟ كي يتسنى لنا بعد ذلك اكتشاف الوجوب أو </w:t>
      </w:r>
      <w:proofErr w:type="gramStart"/>
      <w:r w:rsidRPr="00D56918">
        <w:rPr>
          <w:rFonts w:asciiTheme="majorBidi" w:eastAsia="Times New Roman" w:hAnsiTheme="majorBidi" w:cstheme="majorBidi"/>
          <w:sz w:val="28"/>
          <w:szCs w:val="28"/>
          <w:rtl/>
          <w:lang w:eastAsia="fr-FR"/>
        </w:rPr>
        <w:t>الاستحباب</w:t>
      </w:r>
      <w:proofErr w:type="gramEnd"/>
      <w:r w:rsidRPr="00D56918">
        <w:rPr>
          <w:rFonts w:asciiTheme="majorBidi" w:eastAsia="Times New Roman" w:hAnsiTheme="majorBidi" w:cstheme="majorBidi"/>
          <w:sz w:val="28"/>
          <w:szCs w:val="28"/>
          <w:rtl/>
          <w:lang w:eastAsia="fr-FR"/>
        </w:rPr>
        <w:t xml:space="preserve"> في ذلك الفعل؟ أو لم يكن للمعصوم من عادات شخصية؟ أو لم تكن لهم أذواق </w:t>
      </w:r>
      <w:proofErr w:type="gramStart"/>
      <w:r w:rsidRPr="00D56918">
        <w:rPr>
          <w:rFonts w:asciiTheme="majorBidi" w:eastAsia="Times New Roman" w:hAnsiTheme="majorBidi" w:cstheme="majorBidi"/>
          <w:sz w:val="28"/>
          <w:szCs w:val="28"/>
          <w:rtl/>
          <w:lang w:eastAsia="fr-FR"/>
        </w:rPr>
        <w:t>ومشارب</w:t>
      </w:r>
      <w:proofErr w:type="gramEnd"/>
      <w:r w:rsidRPr="00D56918">
        <w:rPr>
          <w:rFonts w:asciiTheme="majorBidi" w:eastAsia="Times New Roman" w:hAnsiTheme="majorBidi" w:cstheme="majorBidi"/>
          <w:sz w:val="28"/>
          <w:szCs w:val="28"/>
          <w:rtl/>
          <w:lang w:eastAsia="fr-FR"/>
        </w:rPr>
        <w:t xml:space="preserve"> خاصة؟ </w:t>
      </w:r>
      <w:proofErr w:type="gramStart"/>
      <w:r w:rsidRPr="00D56918">
        <w:rPr>
          <w:rFonts w:asciiTheme="majorBidi" w:eastAsia="Times New Roman" w:hAnsiTheme="majorBidi" w:cstheme="majorBidi"/>
          <w:sz w:val="28"/>
          <w:szCs w:val="28"/>
          <w:rtl/>
          <w:lang w:eastAsia="fr-FR"/>
        </w:rPr>
        <w:t>هل</w:t>
      </w:r>
      <w:proofErr w:type="gramEnd"/>
      <w:r w:rsidRPr="00D56918">
        <w:rPr>
          <w:rFonts w:asciiTheme="majorBidi" w:eastAsia="Times New Roman" w:hAnsiTheme="majorBidi" w:cstheme="majorBidi"/>
          <w:sz w:val="28"/>
          <w:szCs w:val="28"/>
          <w:rtl/>
          <w:lang w:eastAsia="fr-FR"/>
        </w:rPr>
        <w:t xml:space="preserve"> من المستحيل أن يتذوق معصوم لونا معينا لا يرغب فيه معصوم آخر؟ ألا يجوز أن يصدر عن المعصوم أمر أو قرار متجذر في ظروف خاصة لا يناسب أية ظروف </w:t>
      </w:r>
      <w:proofErr w:type="spellStart"/>
      <w:r w:rsidRPr="00D56918">
        <w:rPr>
          <w:rFonts w:asciiTheme="majorBidi" w:eastAsia="Times New Roman" w:hAnsiTheme="majorBidi" w:cstheme="majorBidi"/>
          <w:sz w:val="28"/>
          <w:szCs w:val="28"/>
          <w:rtl/>
          <w:lang w:eastAsia="fr-FR"/>
        </w:rPr>
        <w:t>آخرى</w:t>
      </w:r>
      <w:proofErr w:type="spellEnd"/>
      <w:r w:rsidRPr="00D56918">
        <w:rPr>
          <w:rFonts w:asciiTheme="majorBidi" w:eastAsia="Times New Roman" w:hAnsiTheme="majorBidi" w:cstheme="majorBidi"/>
          <w:sz w:val="28"/>
          <w:szCs w:val="28"/>
          <w:rtl/>
          <w:lang w:eastAsia="fr-FR"/>
        </w:rPr>
        <w:t>؟</w:t>
      </w:r>
      <w:r w:rsidRPr="00D56918">
        <w:rPr>
          <w:rFonts w:asciiTheme="majorBidi" w:eastAsia="Times New Roman" w:hAnsiTheme="majorBidi" w:cstheme="majorBidi"/>
          <w:sz w:val="28"/>
          <w:szCs w:val="28"/>
          <w:lang w:eastAsia="fr-FR"/>
        </w:rPr>
        <w:t>)</w:t>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rtl/>
          <w:lang w:eastAsia="fr-FR"/>
        </w:rPr>
        <w:t xml:space="preserve">وبناء على هذا يمكننا فهم تلك الاستثناءات الفقهية حيث نجد أن هنالك من الفقهاء القدماء والمعاصرين من لا يرى خمس المكاسب لأن فعل الأئمة الذين استخرجوا أخماس المكاسب في أزمانهم يأتي في سياق ظرفي لا يمكن أن يعمم أو أن يحظى بدلالة دينية شمولية، وكانت العوامل السياسية الضاغطة هي التي فرضت على الإمام باعتباره قائد الجماعة أو الذي يحتل قمة الهرم في التشكيل </w:t>
      </w:r>
      <w:proofErr w:type="spellStart"/>
      <w:r w:rsidRPr="00D56918">
        <w:rPr>
          <w:rFonts w:asciiTheme="majorBidi" w:eastAsia="Times New Roman" w:hAnsiTheme="majorBidi" w:cstheme="majorBidi"/>
          <w:sz w:val="28"/>
          <w:szCs w:val="28"/>
          <w:rtl/>
          <w:lang w:eastAsia="fr-FR"/>
        </w:rPr>
        <w:t>التظيمي</w:t>
      </w:r>
      <w:proofErr w:type="spellEnd"/>
      <w:r w:rsidRPr="00D56918">
        <w:rPr>
          <w:rFonts w:asciiTheme="majorBidi" w:eastAsia="Times New Roman" w:hAnsiTheme="majorBidi" w:cstheme="majorBidi"/>
          <w:sz w:val="28"/>
          <w:szCs w:val="28"/>
          <w:rtl/>
          <w:lang w:eastAsia="fr-FR"/>
        </w:rPr>
        <w:t xml:space="preserve"> السري للشيعة أن يأمر أتباعه باستخراج أخماس مكاسبهم وهذا يعني أنها لم تكن سوى ضريبة مالية ليس لها شأن ديني على الإطلاق</w:t>
      </w:r>
      <w:r w:rsidRPr="00D56918">
        <w:rPr>
          <w:rFonts w:asciiTheme="majorBidi" w:eastAsia="Times New Roman" w:hAnsiTheme="majorBidi" w:cstheme="majorBidi"/>
          <w:sz w:val="28"/>
          <w:szCs w:val="28"/>
          <w:lang w:eastAsia="fr-FR"/>
        </w:rPr>
        <w:t xml:space="preserve">. </w:t>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lang w:eastAsia="fr-FR"/>
        </w:rPr>
        <w:br/>
      </w:r>
      <w:r w:rsidRPr="00D56918">
        <w:rPr>
          <w:rFonts w:asciiTheme="majorBidi" w:eastAsia="Times New Roman" w:hAnsiTheme="majorBidi" w:cstheme="majorBidi"/>
          <w:sz w:val="28"/>
          <w:szCs w:val="28"/>
          <w:rtl/>
          <w:lang w:eastAsia="fr-FR"/>
        </w:rPr>
        <w:t>هذه صورة موجزة لخارطة فلسفة الفقه كما رسمها الدكتور مصطفى ملكيان، وهي دعوة إلى جانب دعوات مماثلة ربما كانت مجرد مشاكسة لم تعالجها بجدية تلك الحوزات الدينية مما أوجد شرخا بين المفكرين المصلحين على غرار كاتبنا ملكيان وبين السائد الفقهي الذي يفتقد نجاعة المنهج والمسبقات، لأن "التفسير /الفقه الأقوى هو الذي يبنى على مفروضات أو مسبقات أقوى</w:t>
      </w:r>
      <w:r w:rsidRPr="00D56918">
        <w:rPr>
          <w:rFonts w:asciiTheme="majorBidi" w:eastAsia="Times New Roman" w:hAnsiTheme="majorBidi" w:cstheme="majorBidi"/>
          <w:sz w:val="28"/>
          <w:szCs w:val="28"/>
          <w:lang w:eastAsia="fr-FR"/>
        </w:rPr>
        <w:t>"..</w:t>
      </w:r>
    </w:p>
    <w:bookmarkEnd w:id="0"/>
    <w:p w:rsidR="00227E52" w:rsidRPr="00D56918" w:rsidRDefault="00227E52" w:rsidP="00D56918">
      <w:pPr>
        <w:bidi/>
        <w:jc w:val="both"/>
        <w:rPr>
          <w:rFonts w:asciiTheme="majorBidi" w:hAnsiTheme="majorBidi" w:cstheme="majorBidi"/>
          <w:sz w:val="28"/>
          <w:szCs w:val="28"/>
        </w:rPr>
      </w:pPr>
    </w:p>
    <w:sectPr w:rsidR="00227E52" w:rsidRPr="00D5691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223"/>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918"/>
    <w:rsid w:val="00227E52"/>
    <w:rsid w:val="00743369"/>
    <w:rsid w:val="00D56918"/>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D5691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D5691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5691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D5691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D5691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569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1458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hyperlink" Target="http://www.kwtanweer.com/articles/readarticle.php?articleID=1986#addComment"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www.kwtanweer.com/articles/readarticle.php?articleID=1986" TargetMode="External"/><Relationship Id="rId10" Type="http://schemas.openxmlformats.org/officeDocument/2006/relationships/image" Target="media/image3.gif"/><Relationship Id="rId4" Type="http://schemas.openxmlformats.org/officeDocument/2006/relationships/webSettings" Target="webSettings.xml"/><Relationship Id="rId9" Type="http://schemas.openxmlformats.org/officeDocument/2006/relationships/hyperlink" Target="http://www.kwtanweer.com/articles/allcomments.php"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1212</Words>
  <Characters>6666</Characters>
  <Application>Microsoft Office Word</Application>
  <DocSecurity>0</DocSecurity>
  <Lines>55</Lines>
  <Paragraphs>15</Paragraphs>
  <ScaleCrop>false</ScaleCrop>
  <Company/>
  <LinksUpToDate>false</LinksUpToDate>
  <CharactersWithSpaces>7863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2010-07-23T16:58:00Z</dcterms:created>
  <dcterms:modified xsi:type="dcterms:W3CDTF">2010-07-23T16:59:00Z</dcterms:modified>
</cp:coreProperties>
</file>