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1810" w:rsidRPr="00A61810" w:rsidRDefault="00A61810" w:rsidP="00A61810">
      <w:pPr>
        <w:bidi/>
        <w:spacing w:after="0" w:line="240" w:lineRule="auto"/>
        <w:jc w:val="both"/>
        <w:rPr>
          <w:rFonts w:ascii="Times New Roman" w:eastAsia="Times New Roman" w:hAnsi="Times New Roman" w:cs="Times New Roman"/>
          <w:sz w:val="24"/>
          <w:szCs w:val="24"/>
          <w:lang w:eastAsia="fr-FR"/>
        </w:rPr>
      </w:pPr>
      <w:bookmarkStart w:id="0" w:name="_GoBack"/>
      <w:proofErr w:type="gramStart"/>
      <w:r w:rsidRPr="00A61810">
        <w:rPr>
          <w:rFonts w:ascii="Times New Roman" w:eastAsia="Times New Roman" w:hAnsi="Times New Roman" w:cs="Times New Roman"/>
          <w:sz w:val="24"/>
          <w:szCs w:val="24"/>
          <w:rtl/>
          <w:lang w:eastAsia="fr-FR"/>
        </w:rPr>
        <w:t>فلسفة</w:t>
      </w:r>
      <w:proofErr w:type="gramEnd"/>
      <w:r w:rsidRPr="00A61810">
        <w:rPr>
          <w:rFonts w:ascii="Times New Roman" w:eastAsia="Times New Roman" w:hAnsi="Times New Roman" w:cs="Times New Roman"/>
          <w:sz w:val="24"/>
          <w:szCs w:val="24"/>
          <w:rtl/>
          <w:lang w:eastAsia="fr-FR"/>
        </w:rPr>
        <w:t xml:space="preserve"> الفقه في آثار السابقين</w:t>
      </w:r>
    </w:p>
    <w:p w:rsidR="00A61810" w:rsidRPr="00A61810" w:rsidRDefault="00A61810" w:rsidP="00A61810">
      <w:pPr>
        <w:bidi/>
        <w:spacing w:after="0" w:line="240" w:lineRule="auto"/>
        <w:jc w:val="both"/>
        <w:rPr>
          <w:rFonts w:ascii="Times New Roman" w:eastAsia="Times New Roman" w:hAnsi="Times New Roman" w:cs="Times New Roman"/>
          <w:sz w:val="24"/>
          <w:szCs w:val="24"/>
          <w:lang w:eastAsia="fr-FR"/>
        </w:rPr>
      </w:pPr>
      <w:r w:rsidRPr="00A61810">
        <w:rPr>
          <w:rFonts w:ascii="Times New Roman" w:eastAsia="Times New Roman" w:hAnsi="Times New Roman" w:cs="Times New Roman"/>
          <w:sz w:val="24"/>
          <w:szCs w:val="24"/>
          <w:lang w:eastAsia="fr-FR"/>
        </w:rPr>
        <w:t xml:space="preserve">27/05/2007 - 2:31 </w:t>
      </w:r>
      <w:r w:rsidRPr="00A61810">
        <w:rPr>
          <w:rFonts w:ascii="Times New Roman" w:eastAsia="Times New Roman" w:hAnsi="Times New Roman" w:cs="Times New Roman"/>
          <w:sz w:val="24"/>
          <w:szCs w:val="24"/>
          <w:rtl/>
          <w:lang w:eastAsia="fr-FR"/>
        </w:rPr>
        <w:t>ص | عدد القراء: 72</w:t>
      </w:r>
    </w:p>
    <w:p w:rsidR="00A61810" w:rsidRPr="00A61810" w:rsidRDefault="00A61810" w:rsidP="00A61810">
      <w:pPr>
        <w:bidi/>
        <w:spacing w:after="0" w:line="240" w:lineRule="auto"/>
        <w:jc w:val="both"/>
        <w:rPr>
          <w:rFonts w:ascii="Times New Roman" w:eastAsia="Times New Roman" w:hAnsi="Times New Roman" w:cs="Times New Roman"/>
          <w:sz w:val="24"/>
          <w:szCs w:val="24"/>
          <w:lang w:eastAsia="fr-FR"/>
        </w:rPr>
      </w:pPr>
      <w:r w:rsidRPr="00A61810">
        <w:rPr>
          <w:rFonts w:ascii="Times New Roman" w:eastAsia="Times New Roman" w:hAnsi="Times New Roman" w:cs="Times New Roman"/>
          <w:sz w:val="24"/>
          <w:szCs w:val="24"/>
          <w:lang w:eastAsia="fr-FR"/>
        </w:rPr>
        <w:pict>
          <v:rect id="_x0000_i1025" style="width:0;height:1.5pt" o:hralign="center" o:hrstd="t" o:hr="t" fillcolor="#a0a0a0" stroked="f"/>
        </w:pict>
      </w:r>
    </w:p>
    <w:p w:rsidR="00A61810" w:rsidRPr="00A61810" w:rsidRDefault="00A61810" w:rsidP="00A61810">
      <w:pPr>
        <w:bidi/>
        <w:spacing w:after="0" w:line="240" w:lineRule="auto"/>
        <w:jc w:val="both"/>
        <w:rPr>
          <w:rFonts w:ascii="Times New Roman" w:eastAsia="Times New Roman" w:hAnsi="Times New Roman" w:cs="Times New Roman"/>
          <w:sz w:val="24"/>
          <w:szCs w:val="24"/>
          <w:lang w:eastAsia="fr-FR"/>
        </w:rPr>
      </w:pPr>
      <w:r w:rsidRPr="00A61810">
        <w:rPr>
          <w:rFonts w:ascii="Times New Roman" w:eastAsia="Times New Roman" w:hAnsi="Times New Roman" w:cs="Times New Roman"/>
          <w:sz w:val="24"/>
          <w:szCs w:val="24"/>
          <w:lang w:eastAsia="fr-FR"/>
        </w:rPr>
        <w:br/>
      </w:r>
      <w:r w:rsidRPr="00A61810">
        <w:rPr>
          <w:rFonts w:ascii="Times New Roman" w:eastAsia="Times New Roman" w:hAnsi="Times New Roman" w:cs="Times New Roman"/>
          <w:b/>
          <w:bCs/>
          <w:sz w:val="24"/>
          <w:szCs w:val="24"/>
          <w:rtl/>
          <w:lang w:eastAsia="fr-FR"/>
        </w:rPr>
        <w:t xml:space="preserve">د. عبد الجبار الرفاعي...عادة ما تنشأ العلوم بامتصاص مكوناتها من العلوم السابقة لها والتي تجد فيها بذراتها الجنينية ثم تأتلف هذه </w:t>
      </w:r>
      <w:proofErr w:type="spellStart"/>
      <w:r w:rsidRPr="00A61810">
        <w:rPr>
          <w:rFonts w:ascii="Times New Roman" w:eastAsia="Times New Roman" w:hAnsi="Times New Roman" w:cs="Times New Roman"/>
          <w:b/>
          <w:bCs/>
          <w:sz w:val="24"/>
          <w:szCs w:val="24"/>
          <w:rtl/>
          <w:lang w:eastAsia="fr-FR"/>
        </w:rPr>
        <w:t>البذرات</w:t>
      </w:r>
      <w:proofErr w:type="spellEnd"/>
      <w:r w:rsidRPr="00A61810">
        <w:rPr>
          <w:rFonts w:ascii="Times New Roman" w:eastAsia="Times New Roman" w:hAnsi="Times New Roman" w:cs="Times New Roman"/>
          <w:b/>
          <w:bCs/>
          <w:sz w:val="24"/>
          <w:szCs w:val="24"/>
          <w:rtl/>
          <w:lang w:eastAsia="fr-FR"/>
        </w:rPr>
        <w:t xml:space="preserve"> فتتكون منها خميرة العلم الجديد عندما يحين اجل ولادة هذا العلم وصياغة مرتكزاته وأسسه </w:t>
      </w:r>
      <w:r w:rsidRPr="00A61810">
        <w:rPr>
          <w:rFonts w:ascii="Times New Roman" w:eastAsia="Times New Roman" w:hAnsi="Times New Roman" w:cs="Times New Roman"/>
          <w:sz w:val="24"/>
          <w:szCs w:val="24"/>
          <w:lang w:eastAsia="fr-FR"/>
        </w:rPr>
        <w:br/>
      </w:r>
      <w:r w:rsidRPr="00A61810">
        <w:rPr>
          <w:rFonts w:ascii="Times New Roman" w:eastAsia="Times New Roman" w:hAnsi="Times New Roman" w:cs="Times New Roman"/>
          <w:sz w:val="24"/>
          <w:szCs w:val="24"/>
          <w:lang w:eastAsia="fr-FR"/>
        </w:rPr>
        <w:br/>
      </w:r>
      <w:r w:rsidRPr="00A61810">
        <w:rPr>
          <w:rFonts w:ascii="Times New Roman" w:eastAsia="Times New Roman" w:hAnsi="Times New Roman" w:cs="Times New Roman"/>
          <w:sz w:val="24"/>
          <w:szCs w:val="24"/>
          <w:rtl/>
          <w:lang w:eastAsia="fr-FR"/>
        </w:rPr>
        <w:t>على يد أحد العلماء</w:t>
      </w:r>
      <w:r w:rsidRPr="00A61810">
        <w:rPr>
          <w:rFonts w:ascii="Times New Roman" w:eastAsia="Times New Roman" w:hAnsi="Times New Roman" w:cs="Times New Roman"/>
          <w:sz w:val="24"/>
          <w:szCs w:val="24"/>
          <w:lang w:eastAsia="fr-FR"/>
        </w:rPr>
        <w:t xml:space="preserve">. </w:t>
      </w:r>
      <w:r w:rsidRPr="00A61810">
        <w:rPr>
          <w:rFonts w:ascii="Times New Roman" w:eastAsia="Times New Roman" w:hAnsi="Times New Roman" w:cs="Times New Roman"/>
          <w:sz w:val="24"/>
          <w:szCs w:val="24"/>
          <w:rtl/>
          <w:lang w:eastAsia="fr-FR"/>
        </w:rPr>
        <w:t>ويمكن ان نعثر على بوادر فلسفة الفقه في اثار غير واحد من الفقهاء والاصوليين في العصر الحديث لكن الجهد التأصيلي الذي بلور مفهومات واضحة في حقل فلسفة الفقه سبق اليه الشهيد محمد باقر الصدر قبل أربعين عاماً تقريباً في بحثه لاكتشاف المذهب الاقتصادي في الاسلام وحديثه عن الخطر الذي يحف بعملية الاكتشاف باعتبارها انعكاساً لاجتهاد معين وهو خطر تسرب الذاتية الى عملية الاجتهاد، واشتداد هذا الخطر وتفاقمه بفعل الابتعاد عن عصر النص</w:t>
      </w:r>
      <w:r w:rsidRPr="00A61810">
        <w:rPr>
          <w:rFonts w:ascii="Times New Roman" w:eastAsia="Times New Roman" w:hAnsi="Times New Roman" w:cs="Times New Roman"/>
          <w:sz w:val="24"/>
          <w:szCs w:val="24"/>
          <w:lang w:eastAsia="fr-FR"/>
        </w:rPr>
        <w:t xml:space="preserve">. </w:t>
      </w:r>
      <w:r w:rsidRPr="00A61810">
        <w:rPr>
          <w:rFonts w:ascii="Times New Roman" w:eastAsia="Times New Roman" w:hAnsi="Times New Roman" w:cs="Times New Roman"/>
          <w:sz w:val="24"/>
          <w:szCs w:val="24"/>
          <w:rtl/>
          <w:lang w:eastAsia="fr-FR"/>
        </w:rPr>
        <w:t>فقد عقد الشهيد الصدر بحثاً مفصلاً درس فيه منابع الذاتية في الاجتهاد وحددها بأربعة منابع هي: تبرير الواقع ودمج النص ضمن اطار خاص وتجريد الدليل الشرعي من ظروفه وشروطه واتخاذ موقف معين بصورة مسبقة تجاه النص</w:t>
      </w:r>
      <w:r w:rsidRPr="00A61810">
        <w:rPr>
          <w:rFonts w:ascii="Times New Roman" w:eastAsia="Times New Roman" w:hAnsi="Times New Roman" w:cs="Times New Roman"/>
          <w:sz w:val="24"/>
          <w:szCs w:val="24"/>
          <w:lang w:eastAsia="fr-FR"/>
        </w:rPr>
        <w:t xml:space="preserve">. </w:t>
      </w:r>
      <w:r w:rsidRPr="00A61810">
        <w:rPr>
          <w:rFonts w:ascii="Times New Roman" w:eastAsia="Times New Roman" w:hAnsi="Times New Roman" w:cs="Times New Roman"/>
          <w:sz w:val="24"/>
          <w:szCs w:val="24"/>
          <w:rtl/>
          <w:lang w:eastAsia="fr-FR"/>
        </w:rPr>
        <w:t>وهنا يشير بصراحة الى انه يقصد باتخاذ موقف معين تجاه النص: الاتجاه النفسي للباحث فان للاتجاه اثره الكبير على عملية فهم النصوص</w:t>
      </w:r>
      <w:r w:rsidRPr="00A61810">
        <w:rPr>
          <w:rFonts w:ascii="Times New Roman" w:eastAsia="Times New Roman" w:hAnsi="Times New Roman" w:cs="Times New Roman"/>
          <w:sz w:val="24"/>
          <w:szCs w:val="24"/>
          <w:lang w:eastAsia="fr-FR"/>
        </w:rPr>
        <w:t xml:space="preserve">. </w:t>
      </w:r>
      <w:r w:rsidRPr="00A61810">
        <w:rPr>
          <w:rFonts w:ascii="Times New Roman" w:eastAsia="Times New Roman" w:hAnsi="Times New Roman" w:cs="Times New Roman"/>
          <w:sz w:val="24"/>
          <w:szCs w:val="24"/>
          <w:rtl/>
          <w:lang w:eastAsia="fr-FR"/>
        </w:rPr>
        <w:t xml:space="preserve">وفي السياق ذاته يؤكد الشهيد مرتضى </w:t>
      </w:r>
      <w:proofErr w:type="spellStart"/>
      <w:r w:rsidRPr="00A61810">
        <w:rPr>
          <w:rFonts w:ascii="Times New Roman" w:eastAsia="Times New Roman" w:hAnsi="Times New Roman" w:cs="Times New Roman"/>
          <w:sz w:val="24"/>
          <w:szCs w:val="24"/>
          <w:rtl/>
          <w:lang w:eastAsia="fr-FR"/>
        </w:rPr>
        <w:t>المطهري</w:t>
      </w:r>
      <w:proofErr w:type="spellEnd"/>
      <w:r w:rsidRPr="00A61810">
        <w:rPr>
          <w:rFonts w:ascii="Times New Roman" w:eastAsia="Times New Roman" w:hAnsi="Times New Roman" w:cs="Times New Roman"/>
          <w:sz w:val="24"/>
          <w:szCs w:val="24"/>
          <w:rtl/>
          <w:lang w:eastAsia="fr-FR"/>
        </w:rPr>
        <w:t xml:space="preserve"> بوضوح اثر المحيط الاجتماعي في توجيه عملية الاستنباط الفقهي اذ يقول: لو ان احداً اجرى مقارنة بين فتاوى الفقهاء وتعرف في الوقت نفسه على ظروف حياة كل فرد منهم وطريقة تفكيرهم في مسائل الحياة لعرف كيف ان المنظورات الفكرية لكل فقيه ومعلوماته عن العالم الخارجي المحيط به تؤثر في فتاواه بحيث ان فتوى العربي تفوح منها رائحة العرب ومن فتوى الاعجمي رائحة العجم ومن فتوى القروي رائحة القرية ومن فتوى ابن المدينة رائحة المدينة</w:t>
      </w:r>
      <w:r w:rsidRPr="00A61810">
        <w:rPr>
          <w:rFonts w:ascii="Times New Roman" w:eastAsia="Times New Roman" w:hAnsi="Times New Roman" w:cs="Times New Roman"/>
          <w:sz w:val="24"/>
          <w:szCs w:val="24"/>
          <w:lang w:eastAsia="fr-FR"/>
        </w:rPr>
        <w:t xml:space="preserve">. </w:t>
      </w:r>
      <w:r w:rsidRPr="00A61810">
        <w:rPr>
          <w:rFonts w:ascii="Times New Roman" w:eastAsia="Times New Roman" w:hAnsi="Times New Roman" w:cs="Times New Roman"/>
          <w:sz w:val="24"/>
          <w:szCs w:val="24"/>
          <w:rtl/>
          <w:lang w:eastAsia="fr-FR"/>
        </w:rPr>
        <w:t>ولسنا هنا بصدد استقراء مثل هذه الاشارات في اثار الفقهاء وانما اردنا التذكير فقط بوجود محاولات رائدة في الاشارة الى قضايا فلسفة الفقه قبل ان يتصدى بعض المعاصرين لاقتراح تأسيس علم تحت عنوان (فلسفة الفقه) بسنوات عديدة</w:t>
      </w:r>
      <w:r w:rsidRPr="00A61810">
        <w:rPr>
          <w:rFonts w:ascii="Times New Roman" w:eastAsia="Times New Roman" w:hAnsi="Times New Roman" w:cs="Times New Roman"/>
          <w:sz w:val="24"/>
          <w:szCs w:val="24"/>
          <w:lang w:eastAsia="fr-FR"/>
        </w:rPr>
        <w:t>.</w:t>
      </w:r>
    </w:p>
    <w:bookmarkEnd w:id="0"/>
    <w:p w:rsidR="00227E52" w:rsidRPr="00A61810" w:rsidRDefault="00227E52" w:rsidP="00A61810">
      <w:pPr>
        <w:bidi/>
        <w:jc w:val="both"/>
      </w:pPr>
    </w:p>
    <w:sectPr w:rsidR="00227E52" w:rsidRPr="00A6181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223"/>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1810"/>
    <w:rsid w:val="00227E52"/>
    <w:rsid w:val="00743369"/>
    <w:rsid w:val="00A61810"/>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A6181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A618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6269423">
      <w:bodyDiv w:val="1"/>
      <w:marLeft w:val="0"/>
      <w:marRight w:val="0"/>
      <w:marTop w:val="0"/>
      <w:marBottom w:val="0"/>
      <w:divBdr>
        <w:top w:val="none" w:sz="0" w:space="0" w:color="auto"/>
        <w:left w:val="none" w:sz="0" w:space="0" w:color="auto"/>
        <w:bottom w:val="none" w:sz="0" w:space="0" w:color="auto"/>
        <w:right w:val="none" w:sz="0" w:space="0" w:color="auto"/>
      </w:divBdr>
      <w:divsChild>
        <w:div w:id="710760876">
          <w:marLeft w:val="0"/>
          <w:marRight w:val="0"/>
          <w:marTop w:val="0"/>
          <w:marBottom w:val="0"/>
          <w:divBdr>
            <w:top w:val="none" w:sz="0" w:space="0" w:color="auto"/>
            <w:left w:val="none" w:sz="0" w:space="0" w:color="auto"/>
            <w:bottom w:val="none" w:sz="0" w:space="0" w:color="auto"/>
            <w:right w:val="none" w:sz="0" w:space="0" w:color="auto"/>
          </w:divBdr>
        </w:div>
        <w:div w:id="1137917081">
          <w:marLeft w:val="0"/>
          <w:marRight w:val="0"/>
          <w:marTop w:val="0"/>
          <w:marBottom w:val="0"/>
          <w:divBdr>
            <w:top w:val="none" w:sz="0" w:space="0" w:color="auto"/>
            <w:left w:val="none" w:sz="0" w:space="0" w:color="auto"/>
            <w:bottom w:val="none" w:sz="0" w:space="0" w:color="auto"/>
            <w:right w:val="none" w:sz="0" w:space="0" w:color="auto"/>
          </w:divBdr>
        </w:div>
        <w:div w:id="15337598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267</Words>
  <Characters>1470</Characters>
  <Application>Microsoft Office Word</Application>
  <DocSecurity>0</DocSecurity>
  <Lines>12</Lines>
  <Paragraphs>3</Paragraphs>
  <ScaleCrop>false</ScaleCrop>
  <Company/>
  <LinksUpToDate>false</LinksUpToDate>
  <CharactersWithSpaces>1734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cp:revision>
  <dcterms:created xsi:type="dcterms:W3CDTF">2010-07-23T16:47:00Z</dcterms:created>
  <dcterms:modified xsi:type="dcterms:W3CDTF">2010-07-23T16:48:00Z</dcterms:modified>
</cp:coreProperties>
</file>