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b/>
          <w:bCs/>
          <w:sz w:val="24"/>
          <w:szCs w:val="24"/>
          <w:rtl/>
          <w:lang w:eastAsia="fr-FR"/>
        </w:rPr>
        <w:t>تطور الدرس الأصولي في المنجز الاجتهادي الشيعي المعاصر</w:t>
      </w:r>
      <w:r w:rsidRPr="0038078F">
        <w:rPr>
          <w:rFonts w:ascii="Times New Roman" w:eastAsia="Times New Roman" w:hAnsi="Times New Roman" w:cs="Times New Roman"/>
          <w:b/>
          <w:bCs/>
          <w:sz w:val="24"/>
          <w:szCs w:val="24"/>
          <w:lang w:eastAsia="fr-FR"/>
        </w:rPr>
        <w:t>*</w:t>
      </w:r>
    </w:p>
    <w:p w:rsidR="0038078F" w:rsidRPr="0038078F" w:rsidRDefault="0038078F" w:rsidP="0038078F">
      <w:pPr>
        <w:bidi/>
        <w:spacing w:before="100" w:beforeAutospacing="1" w:after="24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بقلم: عبد الجبار الرفاعي </w:t>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sz w:val="24"/>
          <w:szCs w:val="24"/>
          <w:rtl/>
          <w:lang w:eastAsia="fr-FR"/>
        </w:rPr>
        <w:t>تشهد فلسفة الفقه ومقاصد الشريعة اهتماماً متنامياً في الحوزة العلمية في قم، يمكن ملاحظته من خلال تنوع الكتابات في هذا المضمار، وملاحقة طائفة من التلامذة لهذه الكتابات ومحاولة استيعابها في اطار متطلباتهم العلمية</w:t>
      </w:r>
      <w:r w:rsidRPr="0038078F">
        <w:rPr>
          <w:rFonts w:ascii="Times New Roman" w:eastAsia="Times New Roman" w:hAnsi="Times New Roman" w:cs="Times New Roman"/>
          <w:sz w:val="24"/>
          <w:szCs w:val="24"/>
          <w:lang w:eastAsia="fr-FR"/>
        </w:rPr>
        <w:t>.</w:t>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sz w:val="24"/>
          <w:szCs w:val="24"/>
          <w:lang w:eastAsia="fr-FR"/>
        </w:rPr>
        <w:br/>
      </w:r>
      <w:proofErr w:type="gramStart"/>
      <w:r w:rsidRPr="0038078F">
        <w:rPr>
          <w:rFonts w:ascii="Times New Roman" w:eastAsia="Times New Roman" w:hAnsi="Times New Roman" w:cs="Times New Roman"/>
          <w:sz w:val="24"/>
          <w:szCs w:val="24"/>
          <w:rtl/>
          <w:lang w:eastAsia="fr-FR"/>
        </w:rPr>
        <w:t>ويلوح</w:t>
      </w:r>
      <w:proofErr w:type="gramEnd"/>
      <w:r w:rsidRPr="0038078F">
        <w:rPr>
          <w:rFonts w:ascii="Times New Roman" w:eastAsia="Times New Roman" w:hAnsi="Times New Roman" w:cs="Times New Roman"/>
          <w:sz w:val="24"/>
          <w:szCs w:val="24"/>
          <w:rtl/>
          <w:lang w:eastAsia="fr-FR"/>
        </w:rPr>
        <w:t xml:space="preserve"> في الأفق اتساع وتكامل بحوث فلسفة الفقه في الحوزة في الأيام القادمة، لاسيما إذا ما لاحظنا المسيرة العلمية الخصبة للعلوم الإسلامية ومعطيات التجربة الاجتهادية في مختلف المعارف الإسلامية فيها</w:t>
      </w:r>
      <w:r w:rsidRPr="0038078F">
        <w:rPr>
          <w:rFonts w:ascii="Times New Roman" w:eastAsia="Times New Roman" w:hAnsi="Times New Roman" w:cs="Times New Roman"/>
          <w:sz w:val="24"/>
          <w:szCs w:val="24"/>
          <w:lang w:eastAsia="fr-FR"/>
        </w:rPr>
        <w:t xml:space="preserve">. </w:t>
      </w:r>
    </w:p>
    <w:tbl>
      <w:tblPr>
        <w:tblW w:w="5000" w:type="pct"/>
        <w:tblCellSpacing w:w="0" w:type="dxa"/>
        <w:tblCellMar>
          <w:left w:w="0" w:type="dxa"/>
          <w:right w:w="0" w:type="dxa"/>
        </w:tblCellMar>
        <w:tblLook w:val="04A0" w:firstRow="1" w:lastRow="0" w:firstColumn="1" w:lastColumn="0" w:noHBand="0" w:noVBand="1"/>
      </w:tblPr>
      <w:tblGrid>
        <w:gridCol w:w="8306"/>
      </w:tblGrid>
      <w:tr w:rsidR="0038078F" w:rsidRPr="0038078F" w:rsidTr="0038078F">
        <w:trPr>
          <w:tblCellSpacing w:w="0" w:type="dxa"/>
        </w:trPr>
        <w:tc>
          <w:tcPr>
            <w:tcW w:w="0" w:type="auto"/>
            <w:hideMark/>
          </w:tcPr>
          <w:tbl>
            <w:tblPr>
              <w:tblpPr w:leftFromText="45" w:rightFromText="45" w:vertAnchor="text"/>
              <w:tblW w:w="3000" w:type="dxa"/>
              <w:tblCellSpacing w:w="0" w:type="dxa"/>
              <w:tblCellMar>
                <w:left w:w="0" w:type="dxa"/>
                <w:right w:w="0" w:type="dxa"/>
              </w:tblCellMar>
              <w:tblLook w:val="04A0" w:firstRow="1" w:lastRow="0" w:firstColumn="1" w:lastColumn="0" w:noHBand="0" w:noVBand="1"/>
            </w:tblPr>
            <w:tblGrid>
              <w:gridCol w:w="3000"/>
            </w:tblGrid>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25" style="width:0;height:3.75pt" o:hralign="center" o:hrstd="t" o:hrnoshade="t" o:hr="t" fillcolor="#2679bf" stroked="f"/>
                    </w:pict>
                  </w:r>
                </w:p>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إنّ</w:t>
                  </w:r>
                  <w:proofErr w:type="gramEnd"/>
                  <w:r w:rsidRPr="0038078F">
                    <w:rPr>
                      <w:rFonts w:ascii="Times New Roman" w:eastAsia="Times New Roman" w:hAnsi="Times New Roman" w:cs="Times New Roman"/>
                      <w:sz w:val="24"/>
                      <w:szCs w:val="24"/>
                      <w:rtl/>
                      <w:lang w:eastAsia="fr-FR"/>
                    </w:rPr>
                    <w:t xml:space="preserve"> فلسفة الفقه تطمح لبيان حقيقة علم الفقه والكشف عن الهوية التاريخية والاجتماعية للفقه، وتحديد العناصر الراقدة خلف عملية الاستنباط، من مسلّمات وفرضيات وقبليات ومباني, تتنوع بتنو</w:t>
                  </w:r>
                  <w:bookmarkStart w:id="0" w:name="_GoBack"/>
                  <w:bookmarkEnd w:id="0"/>
                  <w:r w:rsidRPr="0038078F">
                    <w:rPr>
                      <w:rFonts w:ascii="Times New Roman" w:eastAsia="Times New Roman" w:hAnsi="Times New Roman" w:cs="Times New Roman"/>
                      <w:sz w:val="24"/>
                      <w:szCs w:val="24"/>
                      <w:rtl/>
                      <w:lang w:eastAsia="fr-FR"/>
                    </w:rPr>
                    <w:t xml:space="preserve">ع تجارب الاستنباط، وطبيعة الفضاء المعرفي الذي تتمخّض في داخله تلك التجارب </w:t>
                  </w:r>
                </w:p>
              </w:tc>
            </w:tr>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26" style="width:0;height:1.5pt" o:hralign="center" o:hrstd="t" o:hrnoshade="t" o:hr="t" fillcolor="#2679bf" stroked="f"/>
                    </w:pic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ويعود ذلك إلى قصور العلوم الشرعية الموروثة عن استيعاب جملة من الرؤى المستحدثة، والإجابة على الاستفهامات المتنوعة في إطارها التقليدي، مما حفّز بعض الباحثين والدارسين في حقل هذه العلوم لاقتراح تحديث وتنمية العلوم الموروثة, وبناء علوم موازية لها، تتسع لاستيعاب نمط جديد من البحوث، وكانت الدعوة لتدشين علم يهتم بفلسفة الفقه واحدة من أحدث هذه المقترحات، التي نادى بها جماعة من الدارسين في الحوزة العلمية في السنوات الأخيرة، وبادروا لتدوين عدة أبحاث تصوغ رؤى أولية لأسس هذا العلم ومداراته وغاياته، كما عقدوا بضع حلقات نقاشية للتحاور في تلك الرؤى وإنضاجها</w:t>
            </w:r>
            <w:r w:rsidRPr="0038078F">
              <w:rPr>
                <w:rFonts w:ascii="Times New Roman" w:eastAsia="Times New Roman" w:hAnsi="Times New Roman" w:cs="Times New Roman"/>
                <w:sz w:val="24"/>
                <w:szCs w:val="24"/>
                <w:lang w:eastAsia="fr-FR"/>
              </w:rPr>
              <w:t xml:space="preserve"> .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وفلسفة الفقه كأي علم في طور الصيرورة والتشكيل تنوعت الاجتهادات في تحديد معالمه، وبيان حدوده، وتشخيص موضوعه، واكتشاف منهجه، ومعرفة وظيفته، وموقعه في سلم العلوم الشرعية، خاصة علاقته بالفقه وأصول الفقه ومقاصد الشريعة. وبالرغم من تباين مواقف الدارسين لفلسفة الفقه إزاء هذه القضايا، غير أنهم متفقون جميعاً على ضرورة إنشاء علم يُعنى بدراسة فلسفة الفقه في هذا العصر، على غرار ما شاع من انبثاق فلسفة بجوار كل علم، تتناول تحليل ماهية ذلك العلم، وفهمها فهماً يغور في خلفياتها، ويوضح مناهجها، ويشرح التنظيم الأمثل لتلك المناهج، ودائرتها، وأهدافها، ومجموعة العوامل التي تتحكم في تقنين أسس ذلك العلم ومرتكزاته</w:t>
            </w:r>
            <w:r w:rsidRPr="0038078F">
              <w:rPr>
                <w:rFonts w:ascii="Times New Roman" w:eastAsia="Times New Roman" w:hAnsi="Times New Roman" w:cs="Times New Roman"/>
                <w:sz w:val="24"/>
                <w:szCs w:val="24"/>
                <w:lang w:eastAsia="fr-FR"/>
              </w:rPr>
              <w:t xml:space="preserve">. </w: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b/>
          <w:bCs/>
          <w:sz w:val="24"/>
          <w:szCs w:val="24"/>
          <w:rtl/>
          <w:lang w:eastAsia="fr-FR"/>
        </w:rPr>
        <w:t>البواعث</w:t>
      </w:r>
      <w:r w:rsidRPr="0038078F">
        <w:rPr>
          <w:rFonts w:ascii="Times New Roman" w:eastAsia="Times New Roman" w:hAnsi="Times New Roman" w:cs="Times New Roman"/>
          <w:sz w:val="24"/>
          <w:szCs w:val="24"/>
          <w:rtl/>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انطلقت</w:t>
      </w:r>
      <w:proofErr w:type="gramEnd"/>
      <w:r w:rsidRPr="0038078F">
        <w:rPr>
          <w:rFonts w:ascii="Times New Roman" w:eastAsia="Times New Roman" w:hAnsi="Times New Roman" w:cs="Times New Roman"/>
          <w:sz w:val="24"/>
          <w:szCs w:val="24"/>
          <w:rtl/>
          <w:lang w:eastAsia="fr-FR"/>
        </w:rPr>
        <w:t xml:space="preserve"> الدعوة لبناء علم يعنى بفلسفة الفقه في السنوات الأخيرة في الحوزة العلمية، وعقدت عدة ندوات ونشرت عدة مؤلفات وبحوث تعالج ماهية هذا العلم ومجاله ومسائله. ويمكن القول إنّ بواعث هذه الدعوة تتلخص فيما يلي</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t xml:space="preserve">1. </w:t>
      </w:r>
      <w:r w:rsidRPr="0038078F">
        <w:rPr>
          <w:rFonts w:ascii="Times New Roman" w:eastAsia="Times New Roman" w:hAnsi="Times New Roman" w:cs="Times New Roman"/>
          <w:sz w:val="24"/>
          <w:szCs w:val="24"/>
          <w:rtl/>
          <w:lang w:eastAsia="fr-FR"/>
        </w:rPr>
        <w:t>إنّ قيام الدولة الإسلامية وسعيها لأسلمة المؤسسات السياسية والاقتصادية والاجتماعية والثقافية طرح عدداً وفيراً من الاستفهامات الفقهية الجديدة، مما لم يألفها العقل الفقهي من قبل، وتجاوزت الاستفهامات التعرف على الأحكام الشرعية الخاصة بالاجتماع الإسلامي إلى السؤال عن</w:t>
      </w:r>
      <w:r w:rsidRPr="0038078F">
        <w:rPr>
          <w:rFonts w:ascii="Times New Roman" w:eastAsia="Times New Roman" w:hAnsi="Times New Roman" w:cs="Times New Roman"/>
          <w:sz w:val="24"/>
          <w:szCs w:val="24"/>
          <w:lang w:eastAsia="fr-FR"/>
        </w:rPr>
        <w:t xml:space="preserve">: </w:t>
      </w:r>
      <w:r w:rsidRPr="0038078F">
        <w:rPr>
          <w:rFonts w:ascii="Times New Roman" w:eastAsia="Times New Roman" w:hAnsi="Times New Roman" w:cs="Times New Roman"/>
          <w:sz w:val="24"/>
          <w:szCs w:val="24"/>
          <w:rtl/>
          <w:lang w:eastAsia="fr-FR"/>
        </w:rPr>
        <w:t>مجال الفقه وحدوده، وقيمة الفقه الموروث، وأثر الزمان والمكان في الاجتهاد، وعلاقة الاستنباط الفقهي بالعلوم البشرية ومكاسبها، وأثر خلفية الفقيه ورؤيته الكونية في اقتناص مدلول النص، وضمانات موضوعية عملية الاستنباط وعدم تعرضها لتحيزات ومواقف قبلية … وغير ذلك</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ولم يكن بوسع الفقه أو علم الأصول المتداول الإجابة عن الكثير من هذه الاستفهامات، مما حفّزَ بعض الدارسين لتحليل تلك الاستفهامات واقتراح مجموعة رؤى ومفاهيم وافتراضات، تصلح أن تشكل بنية تحتية أولية لتدشين علم جديد خارج مجال الفقه وأصوله</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t xml:space="preserve">2. </w:t>
      </w:r>
      <w:r w:rsidRPr="0038078F">
        <w:rPr>
          <w:rFonts w:ascii="Times New Roman" w:eastAsia="Times New Roman" w:hAnsi="Times New Roman" w:cs="Times New Roman"/>
          <w:sz w:val="24"/>
          <w:szCs w:val="24"/>
          <w:rtl/>
          <w:lang w:eastAsia="fr-FR"/>
        </w:rPr>
        <w:t xml:space="preserve">تطور العلوم الإنسانية، خاصة ما يتصل منها بوشيجة عضوية بعلم الأصول والفقه، مثل: الألسنية والاتجاهات </w:t>
      </w:r>
      <w:proofErr w:type="spellStart"/>
      <w:r w:rsidRPr="0038078F">
        <w:rPr>
          <w:rFonts w:ascii="Times New Roman" w:eastAsia="Times New Roman" w:hAnsi="Times New Roman" w:cs="Times New Roman"/>
          <w:sz w:val="24"/>
          <w:szCs w:val="24"/>
          <w:rtl/>
          <w:lang w:eastAsia="fr-FR"/>
        </w:rPr>
        <w:t>النصوصية</w:t>
      </w:r>
      <w:proofErr w:type="spellEnd"/>
      <w:r w:rsidRPr="0038078F">
        <w:rPr>
          <w:rFonts w:ascii="Times New Roman" w:eastAsia="Times New Roman" w:hAnsi="Times New Roman" w:cs="Times New Roman"/>
          <w:sz w:val="24"/>
          <w:szCs w:val="24"/>
          <w:rtl/>
          <w:lang w:eastAsia="fr-FR"/>
        </w:rPr>
        <w:t xml:space="preserve"> الراهنة، والحقوق والقانون، وفلسفة العلم، وعلم النفس، والاجتماع، والانثروبولوجيا… وغيرها</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lastRenderedPageBreak/>
        <w:t>وانفتاح نخبة من طلاب الدراسات الشرعية على هذه العلوم، عبر تجسير العلاقة بين الحوزة والجامعة، وانخراطهم في دراسات تكميلية في فروع العلوم الإنسانية في الجامعة، ومتابعة دراساتهم العليا في هذه الفروع، بل وابتعاث البعض منهم لمواصلة تعليمه في الجامعات الغربية، ثم عودته بعد التأهيل الأكاديمي لممارسة وظيفته كباحث وأستاذ في الحوزة العلمية</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وكان</w:t>
      </w:r>
      <w:proofErr w:type="gramEnd"/>
      <w:r w:rsidRPr="0038078F">
        <w:rPr>
          <w:rFonts w:ascii="Times New Roman" w:eastAsia="Times New Roman" w:hAnsi="Times New Roman" w:cs="Times New Roman"/>
          <w:sz w:val="24"/>
          <w:szCs w:val="24"/>
          <w:rtl/>
          <w:lang w:eastAsia="fr-FR"/>
        </w:rPr>
        <w:t xml:space="preserve"> لحضور هذه النخبة في أروقة الحوزة أثر بالغ في إضاءة شيء من الأبعاد الخفية للعلاقات بين علم الأصول والفقه من جهة والعلوم الإنسانية المعاصرة من جهة أخرى، واكتشاف بعض الحقول المشتركة والقواعد العامة بينهما</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وهكذا</w:t>
      </w:r>
      <w:proofErr w:type="gramEnd"/>
      <w:r w:rsidRPr="0038078F">
        <w:rPr>
          <w:rFonts w:ascii="Times New Roman" w:eastAsia="Times New Roman" w:hAnsi="Times New Roman" w:cs="Times New Roman"/>
          <w:sz w:val="24"/>
          <w:szCs w:val="24"/>
          <w:rtl/>
          <w:lang w:eastAsia="fr-FR"/>
        </w:rPr>
        <w:t xml:space="preserve"> أضحى من الأهمية بمكان المناداة بصياغة فلسفة للفقه تكون بمثابة ما للعلوم الأخرى من فلسفات</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t xml:space="preserve">3. </w:t>
      </w:r>
      <w:r w:rsidRPr="0038078F">
        <w:rPr>
          <w:rFonts w:ascii="Times New Roman" w:eastAsia="Times New Roman" w:hAnsi="Times New Roman" w:cs="Times New Roman"/>
          <w:sz w:val="24"/>
          <w:szCs w:val="24"/>
          <w:rtl/>
          <w:lang w:eastAsia="fr-FR"/>
        </w:rPr>
        <w:t xml:space="preserve">الشعور بضرورة إصلاح النظام التعليمي في الحوزة العلمية، وعقد عدة ندوات علمية لمناقشة هذه المسألة، ودراسة مواطن قصور العلوم والكتب المتعارفة في الدرس </w:t>
      </w:r>
      <w:proofErr w:type="spellStart"/>
      <w:r w:rsidRPr="0038078F">
        <w:rPr>
          <w:rFonts w:ascii="Times New Roman" w:eastAsia="Times New Roman" w:hAnsi="Times New Roman" w:cs="Times New Roman"/>
          <w:sz w:val="24"/>
          <w:szCs w:val="24"/>
          <w:rtl/>
          <w:lang w:eastAsia="fr-FR"/>
        </w:rPr>
        <w:t>الحوزوي</w:t>
      </w:r>
      <w:proofErr w:type="spellEnd"/>
      <w:r w:rsidRPr="0038078F">
        <w:rPr>
          <w:rFonts w:ascii="Times New Roman" w:eastAsia="Times New Roman" w:hAnsi="Times New Roman" w:cs="Times New Roman"/>
          <w:sz w:val="24"/>
          <w:szCs w:val="24"/>
          <w:rtl/>
          <w:lang w:eastAsia="fr-FR"/>
        </w:rPr>
        <w:t xml:space="preserve"> عن الوفاء بالمتطلبات المعرفية والثقافية للاجتماع الإسلامي اليوم</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وتبلور جملة رؤى تدعو لاستئناف النظر في التراث، وإعادة بناء العلوم الإسلامية، وتدشين حقول جديدة تواكب وتيرة التحولات الحياتية المتسارعة، وتجيب عمّا يتوالد على الدوام من إشكاليات تكتنف التجربة الفقهية. فكانت فلسفة الفقه من أهم الحقول التي نادت بها طائفة من المهتمين بإعادة بناء العلوم الإسلامية، باعتبار أن حيوية الاجتهاد الفقهي تستند إلى حيوية الاجتهاد في بقية العلوم الإسلامية، والحرص على تنمية روح الإبداع وتأصيل علوم جديدة، مثلما نمت بالتدريج العلوم الإسلامية عمودياً وأفقياً بمرور الزمان</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b/>
          <w:bCs/>
          <w:sz w:val="24"/>
          <w:szCs w:val="24"/>
          <w:rtl/>
          <w:lang w:eastAsia="fr-FR"/>
        </w:rPr>
        <w:t>الأغراض</w:t>
      </w:r>
      <w:r w:rsidRPr="0038078F">
        <w:rPr>
          <w:rFonts w:ascii="Times New Roman" w:eastAsia="Times New Roman" w:hAnsi="Times New Roman" w:cs="Times New Roman"/>
          <w:sz w:val="24"/>
          <w:szCs w:val="24"/>
          <w:rtl/>
          <w:lang w:eastAsia="fr-FR"/>
        </w:rPr>
        <w:t xml:space="preserve"> </w:t>
      </w:r>
    </w:p>
    <w:p w:rsidR="0038078F" w:rsidRPr="0038078F" w:rsidRDefault="0038078F" w:rsidP="0038078F">
      <w:pPr>
        <w:bidi/>
        <w:spacing w:before="100" w:beforeAutospacing="1" w:after="240"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ليس</w:t>
      </w:r>
      <w:proofErr w:type="gramEnd"/>
      <w:r w:rsidRPr="0038078F">
        <w:rPr>
          <w:rFonts w:ascii="Times New Roman" w:eastAsia="Times New Roman" w:hAnsi="Times New Roman" w:cs="Times New Roman"/>
          <w:sz w:val="24"/>
          <w:szCs w:val="24"/>
          <w:rtl/>
          <w:lang w:eastAsia="fr-FR"/>
        </w:rPr>
        <w:t xml:space="preserve"> المقصود من كلمة (فلسفة) المضافة إلى (الفقه) هو المعنى المعروف للفلسفة في تراث المعقول الإسلامي، وهو (العلم بأحوال الوجود من حيث هو موجود( لأن الفلسفة بهذا المعنى تُعنى بدراسة الوجود المطلق والأعراض اللاحقة للوجود بنحو عام. بينما فلسفة الفقه مثل بقية الفلسفات المضافة التي تطلّ على موضوعها من الخارج، وتتولى تحليله وتفسيره واستكناه أبعاده وحدوده، والتعرف على ماهية ذلك العلم، بوصفه ظاهرة قابلة للبحث والتحليل، مضافاً إلى دراسة القبليات والفرضيات المستترة وراء المقولات والقواعد الكلية للعلم، ومعرفة كل ما من شأنه أن يساهم في صياغة مفاهيم العلم ويحدّد اتجاهه ويتحكم في مناهجه</w:t>
      </w:r>
      <w:r w:rsidRPr="0038078F">
        <w:rPr>
          <w:rFonts w:ascii="Times New Roman" w:eastAsia="Times New Roman" w:hAnsi="Times New Roman" w:cs="Times New Roman"/>
          <w:sz w:val="24"/>
          <w:szCs w:val="24"/>
          <w:lang w:eastAsia="fr-FR"/>
        </w:rPr>
        <w:t xml:space="preserve">. </w:t>
      </w:r>
    </w:p>
    <w:tbl>
      <w:tblPr>
        <w:tblW w:w="5000" w:type="pct"/>
        <w:tblCellSpacing w:w="0" w:type="dxa"/>
        <w:tblCellMar>
          <w:left w:w="0" w:type="dxa"/>
          <w:right w:w="0" w:type="dxa"/>
        </w:tblCellMar>
        <w:tblLook w:val="04A0" w:firstRow="1" w:lastRow="0" w:firstColumn="1" w:lastColumn="0" w:noHBand="0" w:noVBand="1"/>
      </w:tblPr>
      <w:tblGrid>
        <w:gridCol w:w="8306"/>
      </w:tblGrid>
      <w:tr w:rsidR="0038078F" w:rsidRPr="0038078F" w:rsidTr="0038078F">
        <w:trPr>
          <w:tblCellSpacing w:w="0" w:type="dxa"/>
        </w:trPr>
        <w:tc>
          <w:tcPr>
            <w:tcW w:w="0" w:type="auto"/>
            <w:hideMark/>
          </w:tcPr>
          <w:tbl>
            <w:tblPr>
              <w:tblpPr w:leftFromText="45" w:rightFromText="45" w:vertAnchor="text"/>
              <w:tblW w:w="3000" w:type="dxa"/>
              <w:tblCellSpacing w:w="0" w:type="dxa"/>
              <w:tblCellMar>
                <w:left w:w="0" w:type="dxa"/>
                <w:right w:w="0" w:type="dxa"/>
              </w:tblCellMar>
              <w:tblLook w:val="04A0" w:firstRow="1" w:lastRow="0" w:firstColumn="1" w:lastColumn="0" w:noHBand="0" w:noVBand="1"/>
            </w:tblPr>
            <w:tblGrid>
              <w:gridCol w:w="3000"/>
            </w:tblGrid>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27" style="width:0;height:3.75pt" o:hralign="center" o:hrstd="t" o:hrnoshade="t" o:hr="t" fillcolor="#2679bf" stroked="f"/>
                    </w:pict>
                  </w:r>
                </w:p>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لا يبحث فلسفة الفقه اسلوب الاستنباط، وإنما يتجاوز ذلك إلى ميدان آخر يتناول فيه تشريح ماهية الفقه، واكتشاف طبيعة نسيجه الداخلي ومكوناته، وكيفية نشأته وتطوره، وتفاعله مع المؤثرات الزمانية والمكانية والبيئة الجغرافية </w:t>
                  </w:r>
                </w:p>
              </w:tc>
            </w:tr>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28" style="width:0;height:1.5pt" o:hralign="center" o:hrstd="t" o:hrnoshade="t" o:hr="t" fillcolor="#2679bf" stroked="f"/>
                    </w:pic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إن</w:t>
            </w:r>
            <w:proofErr w:type="gramEnd"/>
            <w:r w:rsidRPr="0038078F">
              <w:rPr>
                <w:rFonts w:ascii="Times New Roman" w:eastAsia="Times New Roman" w:hAnsi="Times New Roman" w:cs="Times New Roman"/>
                <w:sz w:val="24"/>
                <w:szCs w:val="24"/>
                <w:rtl/>
                <w:lang w:eastAsia="fr-FR"/>
              </w:rPr>
              <w:t xml:space="preserve"> النسبة بين الفقه وفلسفته كالنسبة بين القانون وفلسفة القانون، والأخلاق وفلسفة الأخلاق، والتاريخ وفلسفة التاريخ، واللغة وفلسفة اللغة... وهكذا، هي كالنسبة </w:t>
            </w:r>
            <w:proofErr w:type="gramStart"/>
            <w:r w:rsidRPr="0038078F">
              <w:rPr>
                <w:rFonts w:ascii="Times New Roman" w:eastAsia="Times New Roman" w:hAnsi="Times New Roman" w:cs="Times New Roman"/>
                <w:sz w:val="24"/>
                <w:szCs w:val="24"/>
                <w:rtl/>
                <w:lang w:eastAsia="fr-FR"/>
              </w:rPr>
              <w:t>بين</w:t>
            </w:r>
            <w:proofErr w:type="gramEnd"/>
            <w:r w:rsidRPr="0038078F">
              <w:rPr>
                <w:rFonts w:ascii="Times New Roman" w:eastAsia="Times New Roman" w:hAnsi="Times New Roman" w:cs="Times New Roman"/>
                <w:sz w:val="24"/>
                <w:szCs w:val="24"/>
                <w:rtl/>
                <w:lang w:eastAsia="fr-FR"/>
              </w:rPr>
              <w:t xml:space="preserve"> كل علم وفلسفته</w:t>
            </w:r>
            <w:r w:rsidRPr="0038078F">
              <w:rPr>
                <w:rFonts w:ascii="Times New Roman" w:eastAsia="Times New Roman" w:hAnsi="Times New Roman" w:cs="Times New Roman"/>
                <w:sz w:val="24"/>
                <w:szCs w:val="24"/>
                <w:lang w:eastAsia="fr-FR"/>
              </w:rPr>
              <w:t xml:space="preserve">. </w:t>
            </w:r>
            <w:proofErr w:type="gramStart"/>
            <w:r w:rsidRPr="0038078F">
              <w:rPr>
                <w:rFonts w:ascii="Times New Roman" w:eastAsia="Times New Roman" w:hAnsi="Times New Roman" w:cs="Times New Roman"/>
                <w:sz w:val="24"/>
                <w:szCs w:val="24"/>
                <w:rtl/>
                <w:lang w:eastAsia="fr-FR"/>
              </w:rPr>
              <w:t>فالفقه</w:t>
            </w:r>
            <w:proofErr w:type="gramEnd"/>
            <w:r w:rsidRPr="0038078F">
              <w:rPr>
                <w:rFonts w:ascii="Times New Roman" w:eastAsia="Times New Roman" w:hAnsi="Times New Roman" w:cs="Times New Roman"/>
                <w:sz w:val="24"/>
                <w:szCs w:val="24"/>
                <w:rtl/>
                <w:lang w:eastAsia="fr-FR"/>
              </w:rPr>
              <w:t xml:space="preserve"> كما هو معروف يتناول الأحكام الشرعية لعمل المكلف، أي انه علم استنباط الأحكام الشرعية، وتحديد الموقف العملي تجاه الشريعة بنحو مستدل، بالتوكؤ على أدوات وقواعد يجري تنقيحها في أصول الفقه. بينما لا يبحث فلسفة الفقه أسلوب الاستنباط، ولا علاقة له ببيان الموقف العملي تجاه الشريعة، وإنما يتجاوز ذلك إلى ميدان آخر يتناول فيه تشريح ماهية الفقه، واكتشاف طبيعة نسيجه الداخلي ومكوناته، وكيفية نشأته وتطوره، وتفاعله مع المؤثرات الزمانية والمكانية والبيئة الجغرافية، والتأثير المتبادل بينه وبين الأعراف والعادات والتقاليد، والعصر الذي انتج في فضائه الثقافي ومحيطه الحضاري، مضافاً إلى دراسة اصطباغ الفقه بقبليات الفقيه ومنظوره الذاتي، ولون ثقافته، وميوله، ومزاجه، وبيئته الخاصة, والمحيط الذي نشأ وترعرع فيه</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إن فلسفة الفقه ترمي لتناول هذه المسائل ودراستها خارج دائرة الاستنباط الفقهي، بما يتيح لدارسي فلسفة الفقه التوغل في عمق العملية الفقهية، وتفكيك العناصر الظاهرة والمستترة المكونة للموقف الفقهي، وإنجاز قراءة أخرى لاختلاف الفقهاء، لا تستند إلى التفسير الموروث لهذا الاختلاف; لأن الباحث في فلسفة الفقه لا يقف عند السطح، بل يجري عملية حفر وتنقيب عميقة في طبقات المعرفة الفقهية، ويقودنا إلى منابع هذه المعرفة وجذورها وما تستقي به من روافد</w:t>
            </w:r>
            <w:r w:rsidRPr="0038078F">
              <w:rPr>
                <w:rFonts w:ascii="Times New Roman" w:eastAsia="Times New Roman" w:hAnsi="Times New Roman" w:cs="Times New Roman"/>
                <w:sz w:val="24"/>
                <w:szCs w:val="24"/>
                <w:lang w:eastAsia="fr-FR"/>
              </w:rPr>
              <w:t xml:space="preserve">. </w: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lastRenderedPageBreak/>
        <w:t>إنّ</w:t>
      </w:r>
      <w:proofErr w:type="gramEnd"/>
      <w:r w:rsidRPr="0038078F">
        <w:rPr>
          <w:rFonts w:ascii="Times New Roman" w:eastAsia="Times New Roman" w:hAnsi="Times New Roman" w:cs="Times New Roman"/>
          <w:sz w:val="24"/>
          <w:szCs w:val="24"/>
          <w:rtl/>
          <w:lang w:eastAsia="fr-FR"/>
        </w:rPr>
        <w:t xml:space="preserve"> فلسفة الفقه تطمح لبيان حقيقة علم الفقه والكشف عن الهوية التاريخية والاجتماعية للفقه، وتحديد العناصر الراقدة خلف عملية الاستنباط، من مسلّمات وفرضيات وقبليات ومباني, تتنوع بتنوع تجارب الاستنباط، وطبيعة الفضاء المعرفي الذي تتمخّض في داخله تلك التجارب</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وبعبارة موجزة يترقب دعاة فلسفة الفقه أن يتولى هذا العلم تفكيك نسيج الفقه ليرينا كيفية صياغته، ويكشف لنا عن طبيعة المعارف والأدوات الخفية </w:t>
      </w:r>
      <w:proofErr w:type="spellStart"/>
      <w:r w:rsidRPr="0038078F">
        <w:rPr>
          <w:rFonts w:ascii="Times New Roman" w:eastAsia="Times New Roman" w:hAnsi="Times New Roman" w:cs="Times New Roman"/>
          <w:sz w:val="24"/>
          <w:szCs w:val="24"/>
          <w:rtl/>
          <w:lang w:eastAsia="fr-FR"/>
        </w:rPr>
        <w:t>الثاوية</w:t>
      </w:r>
      <w:proofErr w:type="spellEnd"/>
      <w:r w:rsidRPr="0038078F">
        <w:rPr>
          <w:rFonts w:ascii="Times New Roman" w:eastAsia="Times New Roman" w:hAnsi="Times New Roman" w:cs="Times New Roman"/>
          <w:sz w:val="24"/>
          <w:szCs w:val="24"/>
          <w:rtl/>
          <w:lang w:eastAsia="fr-FR"/>
        </w:rPr>
        <w:t xml:space="preserve"> في بنيته الداخلية، بنحو نستطيع معه تشخيص ثغوره </w:t>
      </w:r>
      <w:proofErr w:type="spellStart"/>
      <w:r w:rsidRPr="0038078F">
        <w:rPr>
          <w:rFonts w:ascii="Times New Roman" w:eastAsia="Times New Roman" w:hAnsi="Times New Roman" w:cs="Times New Roman"/>
          <w:sz w:val="24"/>
          <w:szCs w:val="24"/>
          <w:rtl/>
          <w:lang w:eastAsia="fr-FR"/>
        </w:rPr>
        <w:t>وتخومه</w:t>
      </w:r>
      <w:proofErr w:type="spellEnd"/>
      <w:r w:rsidRPr="0038078F">
        <w:rPr>
          <w:rFonts w:ascii="Times New Roman" w:eastAsia="Times New Roman" w:hAnsi="Times New Roman" w:cs="Times New Roman"/>
          <w:sz w:val="24"/>
          <w:szCs w:val="24"/>
          <w:rtl/>
          <w:lang w:eastAsia="fr-FR"/>
        </w:rPr>
        <w:t xml:space="preserve"> ومساراته، وكافة منابعه ومرتكزاته وسماته وأهدافه</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إنّ فيلسوف الفقه كأنه باحث في الآثار، فعندما يحفر الآثاري طبقات التربة ويغور في أعماق التلال الأثرية، يبتغي التعرف على النمط الحضاري السائد قبل آلاف السنين، ثم يقوم بتشكيل صورة تشي بخصائص وأحوال الحضارة موضوع دراسته، بالإفادة من مجموعة لُقى وأختام وألواح طينية وفخاريات أثرية، وإجراء بحوث تحليلية دقيقة عليها، بتفحّص وتأمل كل شكل أو صورة أو كتابة أو إشارة مهما كانت بسيطة, وتوظيفها في قراءة تلك الحضارة</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وهكذا يعمل الدارس في فلسفة الفقه، فإنه يمارس حفريات معرفية في التراث الفقهي، بهدف بلوغ </w:t>
      </w:r>
      <w:proofErr w:type="spellStart"/>
      <w:r w:rsidRPr="0038078F">
        <w:rPr>
          <w:rFonts w:ascii="Times New Roman" w:eastAsia="Times New Roman" w:hAnsi="Times New Roman" w:cs="Times New Roman"/>
          <w:sz w:val="24"/>
          <w:szCs w:val="24"/>
          <w:rtl/>
          <w:lang w:eastAsia="fr-FR"/>
        </w:rPr>
        <w:t>الأنساق</w:t>
      </w:r>
      <w:proofErr w:type="spellEnd"/>
      <w:r w:rsidRPr="0038078F">
        <w:rPr>
          <w:rFonts w:ascii="Times New Roman" w:eastAsia="Times New Roman" w:hAnsi="Times New Roman" w:cs="Times New Roman"/>
          <w:sz w:val="24"/>
          <w:szCs w:val="24"/>
          <w:rtl/>
          <w:lang w:eastAsia="fr-FR"/>
        </w:rPr>
        <w:t xml:space="preserve"> الداخلية الخفية، والمقدمات والمبادئ والمسلمات غير المرئية التي تسبق العناصر المرئية الظاهرة في الاستنباط، وتوجّه مسار عملية الاستدلال الفقهي، سواء كانت آراء كلامية، أو مقولات فلسفية، أو علوماً اجتماعية، أو موروثات تربوية مترسبة في لاوعي الإنسان منذ المراحل الأولى في حياته</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إن فلسفة الفقه تهتم بتشخيص ما يطبع المعرفة الفقهية، وما تتلون به هذه المعرفة من رؤية الفقيه الكونية، وثقافته، ومحيطه، أي أنها تغامر باجتراح أسئلة غير مألوفة، أو على الأقل لم تكن متداولة فيما مضى، من قبيل: هل الفقيه المتكلم والفقيه المحدِّث والفقيه الفيلسوف والفقيه العارف يتعاطون مع نصوص الكتاب الكريم والسنة الشريفة من منظور واحد، فيستظهرون منها مدلولا مشتركاً، </w:t>
      </w:r>
      <w:proofErr w:type="spellStart"/>
      <w:r w:rsidRPr="0038078F">
        <w:rPr>
          <w:rFonts w:ascii="Times New Roman" w:eastAsia="Times New Roman" w:hAnsi="Times New Roman" w:cs="Times New Roman"/>
          <w:sz w:val="24"/>
          <w:szCs w:val="24"/>
          <w:rtl/>
          <w:lang w:eastAsia="fr-FR"/>
        </w:rPr>
        <w:t>لاتساهم</w:t>
      </w:r>
      <w:proofErr w:type="spellEnd"/>
      <w:r w:rsidRPr="0038078F">
        <w:rPr>
          <w:rFonts w:ascii="Times New Roman" w:eastAsia="Times New Roman" w:hAnsi="Times New Roman" w:cs="Times New Roman"/>
          <w:sz w:val="24"/>
          <w:szCs w:val="24"/>
          <w:rtl/>
          <w:lang w:eastAsia="fr-FR"/>
        </w:rPr>
        <w:t xml:space="preserve"> في تكوينه سوى المواضعات العرفية والتبادر اللغوي، أم أن النص يتجلّى في ذهن كل منهم بصورة تتناسب مع ما يثوي في وعيه ولا وعيه من خلفيات مسبقة؟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ثم</w:t>
      </w:r>
      <w:proofErr w:type="gramEnd"/>
      <w:r w:rsidRPr="0038078F">
        <w:rPr>
          <w:rFonts w:ascii="Times New Roman" w:eastAsia="Times New Roman" w:hAnsi="Times New Roman" w:cs="Times New Roman"/>
          <w:sz w:val="24"/>
          <w:szCs w:val="24"/>
          <w:rtl/>
          <w:lang w:eastAsia="fr-FR"/>
        </w:rPr>
        <w:t xml:space="preserve"> ما هو أثر الأعراف والقيم السائدة في المجتمع في تبلور مدلولات النص؟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وما هو دور الأحوال الاجتماعية والاقتصادية والسياسية في نمو </w:t>
      </w:r>
      <w:proofErr w:type="gramStart"/>
      <w:r w:rsidRPr="0038078F">
        <w:rPr>
          <w:rFonts w:ascii="Times New Roman" w:eastAsia="Times New Roman" w:hAnsi="Times New Roman" w:cs="Times New Roman"/>
          <w:sz w:val="24"/>
          <w:szCs w:val="24"/>
          <w:rtl/>
          <w:lang w:eastAsia="fr-FR"/>
        </w:rPr>
        <w:t>الفقه</w:t>
      </w:r>
      <w:proofErr w:type="gramEnd"/>
      <w:r w:rsidRPr="0038078F">
        <w:rPr>
          <w:rFonts w:ascii="Times New Roman" w:eastAsia="Times New Roman" w:hAnsi="Times New Roman" w:cs="Times New Roman"/>
          <w:sz w:val="24"/>
          <w:szCs w:val="24"/>
          <w:rtl/>
          <w:lang w:eastAsia="fr-FR"/>
        </w:rPr>
        <w:t xml:space="preserve"> أو انكماشه؟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وما هي </w:t>
      </w:r>
      <w:proofErr w:type="gramStart"/>
      <w:r w:rsidRPr="0038078F">
        <w:rPr>
          <w:rFonts w:ascii="Times New Roman" w:eastAsia="Times New Roman" w:hAnsi="Times New Roman" w:cs="Times New Roman"/>
          <w:sz w:val="24"/>
          <w:szCs w:val="24"/>
          <w:rtl/>
          <w:lang w:eastAsia="fr-FR"/>
        </w:rPr>
        <w:t>العلاقة</w:t>
      </w:r>
      <w:proofErr w:type="gramEnd"/>
      <w:r w:rsidRPr="0038078F">
        <w:rPr>
          <w:rFonts w:ascii="Times New Roman" w:eastAsia="Times New Roman" w:hAnsi="Times New Roman" w:cs="Times New Roman"/>
          <w:sz w:val="24"/>
          <w:szCs w:val="24"/>
          <w:rtl/>
          <w:lang w:eastAsia="fr-FR"/>
        </w:rPr>
        <w:t xml:space="preserve"> بين مشاركة الفقيه في الحياة السياسية الاجتماعية واتجاهه الفقهي؟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أليست المعرفة الفقهية واحدة من ضروب المعارف البشرية؟ فهل يمكن جعلها بمعزل عن التحولات الهائلة في علوم الألسنية والقانون والنفس والتربية والاجتماع والانثروبولوجيا؟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وهل هناك </w:t>
      </w:r>
      <w:proofErr w:type="gramStart"/>
      <w:r w:rsidRPr="0038078F">
        <w:rPr>
          <w:rFonts w:ascii="Times New Roman" w:eastAsia="Times New Roman" w:hAnsi="Times New Roman" w:cs="Times New Roman"/>
          <w:sz w:val="24"/>
          <w:szCs w:val="24"/>
          <w:rtl/>
          <w:lang w:eastAsia="fr-FR"/>
        </w:rPr>
        <w:t>علاقة</w:t>
      </w:r>
      <w:proofErr w:type="gramEnd"/>
      <w:r w:rsidRPr="0038078F">
        <w:rPr>
          <w:rFonts w:ascii="Times New Roman" w:eastAsia="Times New Roman" w:hAnsi="Times New Roman" w:cs="Times New Roman"/>
          <w:sz w:val="24"/>
          <w:szCs w:val="24"/>
          <w:rtl/>
          <w:lang w:eastAsia="fr-FR"/>
        </w:rPr>
        <w:t xml:space="preserve"> بين تطور العلوم الطبيعية والعلوم البحتة والمعرفة الفقهية؟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38078F">
        <w:rPr>
          <w:rFonts w:ascii="Times New Roman" w:eastAsia="Times New Roman" w:hAnsi="Times New Roman" w:cs="Times New Roman"/>
          <w:sz w:val="24"/>
          <w:szCs w:val="24"/>
          <w:rtl/>
          <w:lang w:eastAsia="fr-FR"/>
        </w:rPr>
        <w:t>أليس</w:t>
      </w:r>
      <w:proofErr w:type="gramEnd"/>
      <w:r w:rsidRPr="0038078F">
        <w:rPr>
          <w:rFonts w:ascii="Times New Roman" w:eastAsia="Times New Roman" w:hAnsi="Times New Roman" w:cs="Times New Roman"/>
          <w:sz w:val="24"/>
          <w:szCs w:val="24"/>
          <w:rtl/>
          <w:lang w:eastAsia="fr-FR"/>
        </w:rPr>
        <w:t xml:space="preserve"> هناك تأثير متبادل بين التفكير الفقهي ومسار الحضارة الإسلامية، باعتبار الفقه أحد المنجزات العلمية لهذه الحضارة، وهو بالتالي تعبير عما تزخر به الحضارة الإسلامية من إبداع وابتكار؟ فإذا ازدهرت أية حضارة تزدهر تبعاً لذلك معارفها وفنونها وآدابها، أما إذا انكفأت وانحطت فسوف تنحط معارفها وفنونها وآدابها أيضاً، فماذا ورث الفقه الإسلامي من عصور الانكفاء والتراجع؟ </w:t>
      </w:r>
    </w:p>
    <w:p w:rsidR="0038078F" w:rsidRPr="0038078F" w:rsidRDefault="0038078F" w:rsidP="0038078F">
      <w:pPr>
        <w:bidi/>
        <w:spacing w:before="100" w:beforeAutospacing="1" w:after="24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وأخيراً أليست المعرفة الفقهية معرفة نسبية تاريخية محكومة بالحقبة الزمنية المنتجة في فضائها؟ فلماذا يتعامل البعض مع هذه المعرفة وكأنها معرفة مطلقة أبدية، من دون أن يدري أن الفقه لن ينفصل عن الحياة البشرية وما تحفل به من تحولات شتى ووتيرة تغيير متسارعة، ومن دون أن يميز بين الفقه والشريعة، فالشريعة خالدة فيما المعرفة الفقهية لا تنفك عن البيئة والمحيط؟ </w:t>
      </w:r>
    </w:p>
    <w:tbl>
      <w:tblPr>
        <w:tblW w:w="5000" w:type="pct"/>
        <w:tblCellSpacing w:w="0" w:type="dxa"/>
        <w:tblCellMar>
          <w:left w:w="0" w:type="dxa"/>
          <w:right w:w="0" w:type="dxa"/>
        </w:tblCellMar>
        <w:tblLook w:val="04A0" w:firstRow="1" w:lastRow="0" w:firstColumn="1" w:lastColumn="0" w:noHBand="0" w:noVBand="1"/>
      </w:tblPr>
      <w:tblGrid>
        <w:gridCol w:w="8306"/>
      </w:tblGrid>
      <w:tr w:rsidR="0038078F" w:rsidRPr="0038078F" w:rsidTr="0038078F">
        <w:trPr>
          <w:tblCellSpacing w:w="0" w:type="dxa"/>
        </w:trPr>
        <w:tc>
          <w:tcPr>
            <w:tcW w:w="0" w:type="auto"/>
            <w:hideMark/>
          </w:tcPr>
          <w:tbl>
            <w:tblPr>
              <w:tblpPr w:leftFromText="45" w:rightFromText="45" w:vertAnchor="text"/>
              <w:tblW w:w="3000" w:type="dxa"/>
              <w:tblCellSpacing w:w="0" w:type="dxa"/>
              <w:tblCellMar>
                <w:left w:w="0" w:type="dxa"/>
                <w:right w:w="0" w:type="dxa"/>
              </w:tblCellMar>
              <w:tblLook w:val="04A0" w:firstRow="1" w:lastRow="0" w:firstColumn="1" w:lastColumn="0" w:noHBand="0" w:noVBand="1"/>
            </w:tblPr>
            <w:tblGrid>
              <w:gridCol w:w="3000"/>
            </w:tblGrid>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29" style="width:0;height:3.75pt" o:hralign="center" o:hrstd="t" o:hrnoshade="t" o:hr="t" fillcolor="#2679bf" stroked="f"/>
                    </w:pict>
                  </w:r>
                </w:p>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بعض دعاة هذا العلم الجديد أنفسهم لم تستبن لهم معالمه ومسائله ومنهجه، فأمسى كل واحد منهم يتكلم في مفهومات </w:t>
                  </w:r>
                  <w:r w:rsidRPr="0038078F">
                    <w:rPr>
                      <w:rFonts w:ascii="Times New Roman" w:eastAsia="Times New Roman" w:hAnsi="Times New Roman" w:cs="Times New Roman"/>
                      <w:sz w:val="24"/>
                      <w:szCs w:val="24"/>
                      <w:rtl/>
                      <w:lang w:eastAsia="fr-FR"/>
                    </w:rPr>
                    <w:lastRenderedPageBreak/>
                    <w:t xml:space="preserve">مختلفة، تمتزج فيها الافتراضات بالأماني والمقترحات </w:t>
                  </w:r>
                </w:p>
              </w:tc>
            </w:tr>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lastRenderedPageBreak/>
                    <w:pict>
                      <v:rect id="_x0000_i1030" style="width:0;height:1.5pt" o:hralign="center" o:hrstd="t" o:hrnoshade="t" o:hr="t" fillcolor="#2679bf" stroked="f"/>
                    </w:pic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هذه نماذج من سلسلة استفهامات كثيرة يطمح دعاة فلسفة الفقه إلى اقتحامها والبحث في آفاقها. والتأمل في هذه الاستفهامات يشي بوظيفة هذا العلم ومدياته، وهذا يعني أن مديات فلسفة الفقه تتجاوز اهتمامات علم أصول الفقه المعروفة ولا تتوقف عندها، فبالرغم من أن بذور فلسفة الفقه أثمرتها بحوث الأصوليين والفقهاء وتغذت في حقل هذه البحوث، بل اعتبر أحد الباحثين علم الأصول بمثابة فلسفة للفقه، لكن فلسفة الفقه تتسع لمباحث جديدة لم يطرقها علم الأصول، ذلك أن مهمة علم الأصول تتلخص في تأمين العناصر المشتركة في عملية الاستدلال الفقهي واستنباط الأحكام الشرعية، بينما تدرس فلسفة الفقه الخلفيات، التي تسبق تلك العناصر، وتوجه آليات استخدامها في الاستنباط، وبعبارة موجزة إن فلسفة الفقه تنقلنا إلى </w:t>
            </w:r>
            <w:r w:rsidRPr="0038078F">
              <w:rPr>
                <w:rFonts w:ascii="Times New Roman" w:eastAsia="Times New Roman" w:hAnsi="Times New Roman" w:cs="Times New Roman"/>
                <w:sz w:val="24"/>
                <w:szCs w:val="24"/>
                <w:lang w:eastAsia="fr-FR"/>
              </w:rPr>
              <w:t>(</w:t>
            </w:r>
            <w:r w:rsidRPr="0038078F">
              <w:rPr>
                <w:rFonts w:ascii="Times New Roman" w:eastAsia="Times New Roman" w:hAnsi="Times New Roman" w:cs="Times New Roman"/>
                <w:sz w:val="24"/>
                <w:szCs w:val="24"/>
                <w:rtl/>
                <w:lang w:eastAsia="fr-FR"/>
              </w:rPr>
              <w:t>ما وراء أصول الفقه) و(ما وراء الفقه) فتقودنا إلى مجال آخر مختلف، وتمنحنا رؤية معمقة تبصرنا بما يكتنف فهم النصوص وتحديد مدلولاتها من عوامل، وما يوجه عملية تعاطي أدوات الاستدلال الفقهي برمتها</w:t>
            </w:r>
            <w:r w:rsidRPr="0038078F">
              <w:rPr>
                <w:rFonts w:ascii="Times New Roman" w:eastAsia="Times New Roman" w:hAnsi="Times New Roman" w:cs="Times New Roman"/>
                <w:sz w:val="24"/>
                <w:szCs w:val="24"/>
                <w:lang w:eastAsia="fr-FR"/>
              </w:rPr>
              <w:t xml:space="preserve">. </w: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lastRenderedPageBreak/>
        <w:t>إن فلسفة الفقه تضع بين يدي الفقيه أدوات إضافية ظلّت خارج دائرة الاستنباط زمناً طويلا; لأنها كانت مستترة وراء الأدوات المتداولة في الاستدلال الفقهي، ولم يشعر دارسو الفقه فيما مضى أنهم بحاجة إلى غير ما هو متاح لديهم، لا سيما وأن فلسفة الفقه لا تدخل مباشرة في عملية الاستنباط، وإنما تطل على هذه العملية من الخارج، وتتعامل مع نتائج ومعطيات الاستنباط، مضافاً إلى اهتمامها قبل ذلك بالمبادئ التي ينطلق منها الفقيه، ونوع المنهج الذي يستخدمه وأثره في تحديد الموقف الفقهي</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وهذا يعني أن فلسفة الفقه تستقي أدواتها من عدة علوم؛ لذلك ينبغي أن تنفتح على مكاسب العلوم الإنسانية الراهنة، للاستعانة بها في حفرياتها المعرفية؛ لأن تبلور صيغة نظرية علمية لفلسفة الفقه في وعي الدارسين يتوقف على تلقي بعض الأسس في اللسانيات </w:t>
      </w:r>
      <w:proofErr w:type="spellStart"/>
      <w:r w:rsidRPr="0038078F">
        <w:rPr>
          <w:rFonts w:ascii="Times New Roman" w:eastAsia="Times New Roman" w:hAnsi="Times New Roman" w:cs="Times New Roman"/>
          <w:sz w:val="24"/>
          <w:szCs w:val="24"/>
          <w:rtl/>
          <w:lang w:eastAsia="fr-FR"/>
        </w:rPr>
        <w:t>والهرمنيوطيقا</w:t>
      </w:r>
      <w:proofErr w:type="spellEnd"/>
      <w:r w:rsidRPr="0038078F">
        <w:rPr>
          <w:rFonts w:ascii="Times New Roman" w:eastAsia="Times New Roman" w:hAnsi="Times New Roman" w:cs="Times New Roman"/>
          <w:sz w:val="24"/>
          <w:szCs w:val="24"/>
          <w:rtl/>
          <w:lang w:eastAsia="fr-FR"/>
        </w:rPr>
        <w:t xml:space="preserve">، وفلسفة العلم... </w:t>
      </w:r>
      <w:proofErr w:type="gramStart"/>
      <w:r w:rsidRPr="0038078F">
        <w:rPr>
          <w:rFonts w:ascii="Times New Roman" w:eastAsia="Times New Roman" w:hAnsi="Times New Roman" w:cs="Times New Roman"/>
          <w:sz w:val="24"/>
          <w:szCs w:val="24"/>
          <w:rtl/>
          <w:lang w:eastAsia="fr-FR"/>
        </w:rPr>
        <w:t>وغير</w:t>
      </w:r>
      <w:proofErr w:type="gramEnd"/>
      <w:r w:rsidRPr="0038078F">
        <w:rPr>
          <w:rFonts w:ascii="Times New Roman" w:eastAsia="Times New Roman" w:hAnsi="Times New Roman" w:cs="Times New Roman"/>
          <w:sz w:val="24"/>
          <w:szCs w:val="24"/>
          <w:rtl/>
          <w:lang w:eastAsia="fr-FR"/>
        </w:rPr>
        <w:t xml:space="preserve"> ذلك</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b/>
          <w:bCs/>
          <w:sz w:val="24"/>
          <w:szCs w:val="24"/>
          <w:rtl/>
          <w:lang w:eastAsia="fr-FR"/>
        </w:rPr>
        <w:t>المواقف</w:t>
      </w:r>
      <w:r w:rsidRPr="0038078F">
        <w:rPr>
          <w:rFonts w:ascii="Times New Roman" w:eastAsia="Times New Roman" w:hAnsi="Times New Roman" w:cs="Times New Roman"/>
          <w:sz w:val="24"/>
          <w:szCs w:val="24"/>
          <w:rtl/>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فلسفة الفقه علم في طور الصيرورة، وهو كأي علم في مرحلة ولادته يصبح مجالاً رحباً لتنوع الاجتهادات وربما تباينها، وتعدد الآراء وتقاطعها. وقد يفضي ذلك إلى سجالات ومنازعات لفظية ينجم عنها اضطراب المواقف والتباسها</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وتبدو هذه الحالة بوضوح في فلسفة الفقه؛ لأن هناك طائفة من طلاب العلوم الإسلامية في الحوزة العلمية تتبرم حتى من العبارات والأساليب البيانية الجديدة، وتضيق ذرعاً بأية محاولة لتنمية الموروث، فضلاً عن تخطي بعض حقوله. فكيف إذا صدم هؤلاء موقف اجتهادي جديد، يدعي أنه يسعى لتأصيل علم ينخل التراث الفقهي، ويتقصى الثغرات المنهجية التي تمنى بها الممارسة الفقهية، ويُعلن عن الأطر الجوانية التي تشكل </w:t>
      </w:r>
      <w:proofErr w:type="spellStart"/>
      <w:r w:rsidRPr="0038078F">
        <w:rPr>
          <w:rFonts w:ascii="Times New Roman" w:eastAsia="Times New Roman" w:hAnsi="Times New Roman" w:cs="Times New Roman"/>
          <w:sz w:val="24"/>
          <w:szCs w:val="24"/>
          <w:rtl/>
          <w:lang w:eastAsia="fr-FR"/>
        </w:rPr>
        <w:t>أنساقاً</w:t>
      </w:r>
      <w:proofErr w:type="spellEnd"/>
      <w:r w:rsidRPr="0038078F">
        <w:rPr>
          <w:rFonts w:ascii="Times New Roman" w:eastAsia="Times New Roman" w:hAnsi="Times New Roman" w:cs="Times New Roman"/>
          <w:sz w:val="24"/>
          <w:szCs w:val="24"/>
          <w:rtl/>
          <w:lang w:eastAsia="fr-FR"/>
        </w:rPr>
        <w:t xml:space="preserve"> تحتية لهذه الممارسة؟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كما أن بعض دعاة هذا العلم الجديد أنفسهم لم تستبن لهم معالمه ومسائله ومنهجه، فأمسى كل واحد منهم يتكلم في مفهومات مختلفة، تمتزج فيها الافتراضات بالأماني والمقترحات</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ولعل ذلك يعود لتنوع المرجعيات الفكرية التي تصدر عنها هذه الآراء، وعدم مساهمة عدد مناسب من الباحثين في الحوزة العلمية وخارجها في دراسة الرؤى الأولية لفلسفة الفقه، واختبار افتراضات هذا العلم، وتشخيص المنابع التي نهلت منها، ومدى جدّيتها في التعبير عن الأهداف المتوخاة من فلسفة الفقه</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وقد يستغرق النقاش في هذه القضية مدة طويلة نسبياً، وتتسع دائرة المشاركين فيه بالتدريج، مما يعني أن قضية فلسفة الفقه أذكت فاعلية العقل الفقهي فأقحمته عالماً لم يكن في إطار اهتماماته من قبل، وعملت على الإقلاع به عن شيء من مشاغله التقليدية إلى هموم بديلة</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ويمكن القول: إنه متى ما تغلغلت آراء دعاة فلسفة الفقه بشكل أعمق في فضاء الدراسات الشرعية، وأثارت ردود فعل إيجابية وسلبية أوسع، سيعجل ذلك في إنضاج هذا العلم وصياغة معالمه النظرية وتجلي مرتكزاته وأصوله المنهجية</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24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lastRenderedPageBreak/>
        <w:br/>
      </w:r>
      <w:r w:rsidRPr="0038078F">
        <w:rPr>
          <w:rFonts w:ascii="Times New Roman" w:eastAsia="Times New Roman" w:hAnsi="Times New Roman" w:cs="Times New Roman"/>
          <w:sz w:val="24"/>
          <w:szCs w:val="24"/>
          <w:lang w:eastAsia="fr-FR"/>
        </w:rPr>
        <w:br/>
      </w:r>
      <w:r w:rsidRPr="0038078F">
        <w:rPr>
          <w:rFonts w:ascii="Times New Roman" w:eastAsia="Times New Roman" w:hAnsi="Times New Roman" w:cs="Times New Roman"/>
          <w:b/>
          <w:bCs/>
          <w:sz w:val="24"/>
          <w:szCs w:val="24"/>
          <w:rtl/>
          <w:lang w:eastAsia="fr-FR"/>
        </w:rPr>
        <w:t>الاتجاهات</w:t>
      </w:r>
      <w:r w:rsidRPr="0038078F">
        <w:rPr>
          <w:rFonts w:ascii="Times New Roman" w:eastAsia="Times New Roman" w:hAnsi="Times New Roman" w:cs="Times New Roman"/>
          <w:sz w:val="24"/>
          <w:szCs w:val="24"/>
          <w:rtl/>
          <w:lang w:eastAsia="fr-FR"/>
        </w:rPr>
        <w:t xml:space="preserve"> </w:t>
      </w:r>
    </w:p>
    <w:tbl>
      <w:tblPr>
        <w:tblW w:w="5000" w:type="pct"/>
        <w:tblCellSpacing w:w="0" w:type="dxa"/>
        <w:tblCellMar>
          <w:left w:w="0" w:type="dxa"/>
          <w:right w:w="0" w:type="dxa"/>
        </w:tblCellMar>
        <w:tblLook w:val="04A0" w:firstRow="1" w:lastRow="0" w:firstColumn="1" w:lastColumn="0" w:noHBand="0" w:noVBand="1"/>
      </w:tblPr>
      <w:tblGrid>
        <w:gridCol w:w="8306"/>
      </w:tblGrid>
      <w:tr w:rsidR="0038078F" w:rsidRPr="0038078F" w:rsidTr="0038078F">
        <w:trPr>
          <w:tblCellSpacing w:w="0" w:type="dxa"/>
        </w:trPr>
        <w:tc>
          <w:tcPr>
            <w:tcW w:w="0" w:type="auto"/>
            <w:hideMark/>
          </w:tcPr>
          <w:tbl>
            <w:tblPr>
              <w:tblpPr w:leftFromText="45" w:rightFromText="45" w:vertAnchor="text"/>
              <w:tblW w:w="3000" w:type="dxa"/>
              <w:tblCellSpacing w:w="0" w:type="dxa"/>
              <w:tblCellMar>
                <w:left w:w="0" w:type="dxa"/>
                <w:right w:w="0" w:type="dxa"/>
              </w:tblCellMar>
              <w:tblLook w:val="04A0" w:firstRow="1" w:lastRow="0" w:firstColumn="1" w:lastColumn="0" w:noHBand="0" w:noVBand="1"/>
            </w:tblPr>
            <w:tblGrid>
              <w:gridCol w:w="3000"/>
            </w:tblGrid>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31" style="width:0;height:3.75pt" o:hralign="center" o:hrstd="t" o:hrnoshade="t" o:hr="t" fillcolor="#2679bf" stroked="f"/>
                    </w:pict>
                  </w:r>
                </w:p>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فلسفة الفقه تستقي أدواتها من عدة علوم؛ لذلك ينبغي أن تنفتح على مكاسب العلوم الانسانية الراهنة، للاستعانة بها في حفرياتها المعرفية؛ لأن تبلور صيغة نظرية علمية لفلسفة الفقه في وعي الدارسين يتوقف على تلقي بعض الأسس في اللسانيات </w:t>
                  </w:r>
                  <w:proofErr w:type="spellStart"/>
                  <w:r w:rsidRPr="0038078F">
                    <w:rPr>
                      <w:rFonts w:ascii="Times New Roman" w:eastAsia="Times New Roman" w:hAnsi="Times New Roman" w:cs="Times New Roman"/>
                      <w:sz w:val="24"/>
                      <w:szCs w:val="24"/>
                      <w:rtl/>
                      <w:lang w:eastAsia="fr-FR"/>
                    </w:rPr>
                    <w:t>والهرمنيوطيقا</w:t>
                  </w:r>
                  <w:proofErr w:type="spellEnd"/>
                  <w:r w:rsidRPr="0038078F">
                    <w:rPr>
                      <w:rFonts w:ascii="Times New Roman" w:eastAsia="Times New Roman" w:hAnsi="Times New Roman" w:cs="Times New Roman"/>
                      <w:sz w:val="24"/>
                      <w:szCs w:val="24"/>
                      <w:rtl/>
                      <w:lang w:eastAsia="fr-FR"/>
                    </w:rPr>
                    <w:t xml:space="preserve">، وفلسفة العلم... </w:t>
                  </w:r>
                  <w:proofErr w:type="gramStart"/>
                  <w:r w:rsidRPr="0038078F">
                    <w:rPr>
                      <w:rFonts w:ascii="Times New Roman" w:eastAsia="Times New Roman" w:hAnsi="Times New Roman" w:cs="Times New Roman"/>
                      <w:sz w:val="24"/>
                      <w:szCs w:val="24"/>
                      <w:rtl/>
                      <w:lang w:eastAsia="fr-FR"/>
                    </w:rPr>
                    <w:t>وغير</w:t>
                  </w:r>
                  <w:proofErr w:type="gramEnd"/>
                  <w:r w:rsidRPr="0038078F">
                    <w:rPr>
                      <w:rFonts w:ascii="Times New Roman" w:eastAsia="Times New Roman" w:hAnsi="Times New Roman" w:cs="Times New Roman"/>
                      <w:sz w:val="24"/>
                      <w:szCs w:val="24"/>
                      <w:rtl/>
                      <w:lang w:eastAsia="fr-FR"/>
                    </w:rPr>
                    <w:t xml:space="preserve"> ذلك </w:t>
                  </w:r>
                </w:p>
              </w:tc>
            </w:tr>
            <w:tr w:rsidR="0038078F" w:rsidRPr="0038078F">
              <w:trPr>
                <w:tblCellSpacing w:w="0" w:type="dxa"/>
              </w:trPr>
              <w:tc>
                <w:tcPr>
                  <w:tcW w:w="5000" w:type="pct"/>
                  <w:vAlign w:val="center"/>
                  <w:hideMark/>
                </w:tcPr>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32" style="width:0;height:1.5pt" o:hralign="center" o:hrstd="t" o:hrnoshade="t" o:hr="t" fillcolor="#2679bf" stroked="f"/>
                    </w:pict>
                  </w:r>
                </w:p>
              </w:tc>
            </w:tr>
          </w:tbl>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 xml:space="preserve">بالرغم من أن تسمية (فلسفة الفقه) أصبحت عَلَماً يستخدمه قطاع من الدارسين عند الحديث عن هذا العلم، غير أن هناك تسميات أخرى يحلو لبعض المهتمين بهذه القضية أن يطلقها، منها على سبيل المثال: ما وراء علم الفقه، علم كلام الفقه، علم الفقه، علم معرفة الفقه، نظرية معرفة الفقه، ابستمولوجيا الفقه، علم اجتماع الفقه، </w:t>
            </w:r>
            <w:proofErr w:type="spellStart"/>
            <w:r w:rsidRPr="0038078F">
              <w:rPr>
                <w:rFonts w:ascii="Times New Roman" w:eastAsia="Times New Roman" w:hAnsi="Times New Roman" w:cs="Times New Roman"/>
                <w:sz w:val="24"/>
                <w:szCs w:val="24"/>
                <w:rtl/>
                <w:lang w:eastAsia="fr-FR"/>
              </w:rPr>
              <w:t>سوسيولوجيا</w:t>
            </w:r>
            <w:proofErr w:type="spellEnd"/>
            <w:r w:rsidRPr="0038078F">
              <w:rPr>
                <w:rFonts w:ascii="Times New Roman" w:eastAsia="Times New Roman" w:hAnsi="Times New Roman" w:cs="Times New Roman"/>
                <w:sz w:val="24"/>
                <w:szCs w:val="24"/>
                <w:rtl/>
                <w:lang w:eastAsia="fr-FR"/>
              </w:rPr>
              <w:t xml:space="preserve"> الفقه. ويبدو أن هذه التسميات ينطلق كل منها من الزاوية التي يعاينها لفلسفة الفقه، ويحسب أن هذا العلم تتمحور وظيفته حولها</w:t>
            </w:r>
            <w:r w:rsidRPr="0038078F">
              <w:rPr>
                <w:rFonts w:ascii="Times New Roman" w:eastAsia="Times New Roman" w:hAnsi="Times New Roman" w:cs="Times New Roman"/>
                <w:sz w:val="24"/>
                <w:szCs w:val="24"/>
                <w:lang w:eastAsia="fr-FR"/>
              </w:rPr>
              <w:t xml:space="preserve">. </w:t>
            </w:r>
          </w:p>
          <w:p w:rsidR="0038078F" w:rsidRPr="0038078F" w:rsidRDefault="0038078F" w:rsidP="0038078F">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rtl/>
                <w:lang w:eastAsia="fr-FR"/>
              </w:rPr>
              <w:t>ولا يتوقف تنوع وجهات النظر عند المسألة السابقة، وإنما يتعدّاها إلى خلط بعض الدارسين بين فلسفة الفقه وأصول الفقه، وبين فلسفة الفقه ومقاصد الشريعة، فبينما ذهب البعض إلى أن فلسفة الفقه هو شعبة من أصول الفقه، وتحمس في الذود عن رأيه هذا، أدرج آخرون مقاصد الشريعة في فلسفة الفقه، وتمدد واستطال لديه مدلوله بحيث دمج فيه مساحة شاسعة من علوم المعقول والمنقول، زحفت على مباحث من علم الكلام، وفلسفة الدين، وعلم الأصول، والتفسير، والحديث… وغيره</w:t>
            </w:r>
            <w:r w:rsidRPr="0038078F">
              <w:rPr>
                <w:rFonts w:ascii="Times New Roman" w:eastAsia="Times New Roman" w:hAnsi="Times New Roman" w:cs="Times New Roman"/>
                <w:sz w:val="24"/>
                <w:szCs w:val="24"/>
                <w:lang w:eastAsia="fr-FR"/>
              </w:rPr>
              <w:t xml:space="preserve">. </w:t>
            </w:r>
            <w:r w:rsidRPr="0038078F">
              <w:rPr>
                <w:rFonts w:ascii="Times New Roman" w:eastAsia="Times New Roman" w:hAnsi="Times New Roman" w:cs="Times New Roman"/>
                <w:b/>
                <w:bCs/>
                <w:sz w:val="24"/>
                <w:szCs w:val="24"/>
                <w:lang w:eastAsia="fr-FR"/>
              </w:rPr>
              <w:t>(</w:t>
            </w:r>
            <w:r w:rsidRPr="0038078F">
              <w:rPr>
                <w:rFonts w:ascii="Times New Roman" w:eastAsia="Times New Roman" w:hAnsi="Times New Roman" w:cs="Times New Roman"/>
                <w:b/>
                <w:bCs/>
                <w:sz w:val="24"/>
                <w:szCs w:val="24"/>
                <w:rtl/>
                <w:lang w:eastAsia="fr-FR"/>
              </w:rPr>
              <w:t>يتبع</w:t>
            </w:r>
            <w:r w:rsidRPr="0038078F">
              <w:rPr>
                <w:rFonts w:ascii="Times New Roman" w:eastAsia="Times New Roman" w:hAnsi="Times New Roman" w:cs="Times New Roman"/>
                <w:b/>
                <w:bCs/>
                <w:sz w:val="24"/>
                <w:szCs w:val="24"/>
                <w:lang w:eastAsia="fr-FR"/>
              </w:rPr>
              <w:t>)</w:t>
            </w:r>
            <w:r w:rsidRPr="0038078F">
              <w:rPr>
                <w:rFonts w:ascii="Times New Roman" w:eastAsia="Times New Roman" w:hAnsi="Times New Roman" w:cs="Times New Roman"/>
                <w:sz w:val="24"/>
                <w:szCs w:val="24"/>
                <w:lang w:eastAsia="fr-FR"/>
              </w:rPr>
              <w:t xml:space="preserve"> </w:t>
            </w:r>
          </w:p>
        </w:tc>
      </w:tr>
    </w:tbl>
    <w:p w:rsidR="0038078F" w:rsidRPr="0038078F" w:rsidRDefault="0038078F" w:rsidP="0038078F">
      <w:pPr>
        <w:bidi/>
        <w:spacing w:before="100" w:beforeAutospacing="1" w:after="240" w:line="240" w:lineRule="auto"/>
        <w:jc w:val="both"/>
        <w:rPr>
          <w:rFonts w:ascii="Times New Roman" w:eastAsia="Times New Roman" w:hAnsi="Times New Roman" w:cs="Times New Roman"/>
          <w:sz w:val="24"/>
          <w:szCs w:val="24"/>
          <w:lang w:eastAsia="fr-FR"/>
        </w:rPr>
      </w:pPr>
    </w:p>
    <w:p w:rsidR="0038078F" w:rsidRPr="0038078F" w:rsidRDefault="0038078F" w:rsidP="0038078F">
      <w:pPr>
        <w:bidi/>
        <w:spacing w:after="0" w:line="240" w:lineRule="auto"/>
        <w:jc w:val="both"/>
        <w:rPr>
          <w:rFonts w:ascii="Times New Roman" w:eastAsia="Times New Roman" w:hAnsi="Times New Roman" w:cs="Times New Roman"/>
          <w:sz w:val="24"/>
          <w:szCs w:val="24"/>
          <w:lang w:eastAsia="fr-FR"/>
        </w:rPr>
      </w:pPr>
      <w:r w:rsidRPr="0038078F">
        <w:rPr>
          <w:rFonts w:ascii="Times New Roman" w:eastAsia="Times New Roman" w:hAnsi="Times New Roman" w:cs="Times New Roman"/>
          <w:sz w:val="24"/>
          <w:szCs w:val="24"/>
          <w:lang w:eastAsia="fr-FR"/>
        </w:rPr>
        <w:pict>
          <v:rect id="_x0000_i1033" style="width:112.5pt;height:1.5pt" o:hrpct="0" o:hralign="right" o:hrstd="t" o:hrnoshade="t" o:hr="t" fillcolor="#2679bf" stroked="f"/>
        </w:pict>
      </w:r>
    </w:p>
    <w:p w:rsidR="00227E52" w:rsidRPr="0038078F" w:rsidRDefault="0038078F" w:rsidP="0038078F">
      <w:pPr>
        <w:bidi/>
        <w:jc w:val="both"/>
        <w:rPr>
          <w:rFonts w:asciiTheme="majorBidi" w:hAnsiTheme="majorBidi" w:cstheme="majorBidi"/>
          <w:sz w:val="28"/>
          <w:szCs w:val="28"/>
        </w:rPr>
      </w:pP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rtl/>
          <w:lang w:eastAsia="fr-FR"/>
        </w:rPr>
        <w:t>الفصل الثالث من كتاب عبد الجبار الرفاعي (مقدمة في السؤال اللاهوتي الجديد) الذي يصدر قريبا في بيروت عن مركز دراسات فلسفة الدين – توزيع دار الهادي، العنوان من إعداد هيئة تحرير الموقع</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(1) </w:t>
      </w:r>
      <w:r w:rsidRPr="0038078F">
        <w:rPr>
          <w:rFonts w:ascii="Times New Roman" w:eastAsia="Times New Roman" w:hAnsi="Times New Roman" w:cs="Times New Roman"/>
          <w:sz w:val="20"/>
          <w:szCs w:val="20"/>
          <w:rtl/>
          <w:lang w:eastAsia="fr-FR"/>
        </w:rPr>
        <w:t>الشيخ محمد الطاهر بن عاشور وكتابه مقاصد الشريعة الاسلامية</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rtl/>
          <w:lang w:eastAsia="fr-FR"/>
        </w:rPr>
        <w:t xml:space="preserve">تحقيق ودراسة: محمد الطاهر </w:t>
      </w:r>
      <w:proofErr w:type="spellStart"/>
      <w:r w:rsidRPr="0038078F">
        <w:rPr>
          <w:rFonts w:ascii="Times New Roman" w:eastAsia="Times New Roman" w:hAnsi="Times New Roman" w:cs="Times New Roman"/>
          <w:sz w:val="20"/>
          <w:szCs w:val="20"/>
          <w:rtl/>
          <w:lang w:eastAsia="fr-FR"/>
        </w:rPr>
        <w:t>الميساوي</w:t>
      </w:r>
      <w:proofErr w:type="spellEnd"/>
      <w:r w:rsidRPr="0038078F">
        <w:rPr>
          <w:rFonts w:ascii="Times New Roman" w:eastAsia="Times New Roman" w:hAnsi="Times New Roman" w:cs="Times New Roman"/>
          <w:sz w:val="20"/>
          <w:szCs w:val="20"/>
          <w:rtl/>
          <w:lang w:eastAsia="fr-FR"/>
        </w:rPr>
        <w:t xml:space="preserve">. البصائر </w:t>
      </w:r>
      <w:proofErr w:type="spellStart"/>
      <w:r w:rsidRPr="0038078F">
        <w:rPr>
          <w:rFonts w:ascii="Times New Roman" w:eastAsia="Times New Roman" w:hAnsi="Times New Roman" w:cs="Times New Roman"/>
          <w:sz w:val="20"/>
          <w:szCs w:val="20"/>
          <w:rtl/>
          <w:lang w:eastAsia="fr-FR"/>
        </w:rPr>
        <w:t>للانتاج</w:t>
      </w:r>
      <w:proofErr w:type="spellEnd"/>
      <w:r w:rsidRPr="0038078F">
        <w:rPr>
          <w:rFonts w:ascii="Times New Roman" w:eastAsia="Times New Roman" w:hAnsi="Times New Roman" w:cs="Times New Roman"/>
          <w:sz w:val="20"/>
          <w:szCs w:val="20"/>
          <w:rtl/>
          <w:lang w:eastAsia="fr-FR"/>
        </w:rPr>
        <w:t xml:space="preserve"> العلمي، 1418هـ ـ </w:t>
      </w:r>
      <w:r w:rsidRPr="0038078F">
        <w:rPr>
          <w:rFonts w:ascii="Times New Roman" w:eastAsia="Times New Roman" w:hAnsi="Times New Roman" w:cs="Times New Roman"/>
          <w:sz w:val="20"/>
          <w:szCs w:val="20"/>
          <w:lang w:eastAsia="fr-FR"/>
        </w:rPr>
        <w:t>1998</w:t>
      </w:r>
      <w:r w:rsidRPr="0038078F">
        <w:rPr>
          <w:rFonts w:ascii="Times New Roman" w:eastAsia="Times New Roman" w:hAnsi="Times New Roman" w:cs="Times New Roman"/>
          <w:sz w:val="20"/>
          <w:szCs w:val="20"/>
          <w:rtl/>
          <w:lang w:eastAsia="fr-FR"/>
        </w:rPr>
        <w:t>م، ص 171</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(2) </w:t>
      </w:r>
      <w:r w:rsidRPr="0038078F">
        <w:rPr>
          <w:rFonts w:ascii="Times New Roman" w:eastAsia="Times New Roman" w:hAnsi="Times New Roman" w:cs="Times New Roman"/>
          <w:sz w:val="20"/>
          <w:szCs w:val="20"/>
          <w:rtl/>
          <w:lang w:eastAsia="fr-FR"/>
        </w:rPr>
        <w:t>رجال النجاشي. قم: مؤسسة النشر الاسلامي، 1407 هـ ، ص 416</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(3) </w:t>
      </w:r>
      <w:r w:rsidRPr="0038078F">
        <w:rPr>
          <w:rFonts w:ascii="Times New Roman" w:eastAsia="Times New Roman" w:hAnsi="Times New Roman" w:cs="Times New Roman"/>
          <w:sz w:val="20"/>
          <w:szCs w:val="20"/>
          <w:rtl/>
          <w:lang w:eastAsia="fr-FR"/>
        </w:rPr>
        <w:t>أورد صاحب (الذريعة إلى تصانيف الشيعة) خمسة عشر كتاباً من مؤلفات القدماء تحت عنوان (علل). لاحظ الذريعة 15: 312 ـ 314</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(4) </w:t>
      </w:r>
      <w:r w:rsidRPr="0038078F">
        <w:rPr>
          <w:rFonts w:ascii="Times New Roman" w:eastAsia="Times New Roman" w:hAnsi="Times New Roman" w:cs="Times New Roman"/>
          <w:sz w:val="20"/>
          <w:szCs w:val="20"/>
          <w:rtl/>
          <w:lang w:eastAsia="fr-FR"/>
        </w:rPr>
        <w:t xml:space="preserve">اقتصادنا. السيد الشهيد محمد باقر الصدر. </w:t>
      </w:r>
      <w:proofErr w:type="gramStart"/>
      <w:r w:rsidRPr="0038078F">
        <w:rPr>
          <w:rFonts w:ascii="Times New Roman" w:eastAsia="Times New Roman" w:hAnsi="Times New Roman" w:cs="Times New Roman"/>
          <w:sz w:val="20"/>
          <w:szCs w:val="20"/>
          <w:rtl/>
          <w:lang w:eastAsia="fr-FR"/>
        </w:rPr>
        <w:t>المجمع</w:t>
      </w:r>
      <w:proofErr w:type="gramEnd"/>
      <w:r w:rsidRPr="0038078F">
        <w:rPr>
          <w:rFonts w:ascii="Times New Roman" w:eastAsia="Times New Roman" w:hAnsi="Times New Roman" w:cs="Times New Roman"/>
          <w:sz w:val="20"/>
          <w:szCs w:val="20"/>
          <w:rtl/>
          <w:lang w:eastAsia="fr-FR"/>
        </w:rPr>
        <w:t xml:space="preserve"> العلمي للشهيد الصدر، 1408هـ، ]عملية الاجتهاد الذاتية ص 402 ـ 423</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(5) </w:t>
      </w:r>
      <w:r w:rsidRPr="0038078F">
        <w:rPr>
          <w:rFonts w:ascii="Times New Roman" w:eastAsia="Times New Roman" w:hAnsi="Times New Roman" w:cs="Times New Roman"/>
          <w:sz w:val="20"/>
          <w:szCs w:val="20"/>
          <w:rtl/>
          <w:lang w:eastAsia="fr-FR"/>
        </w:rPr>
        <w:t>المصدر السابق. ص 404</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(6) </w:t>
      </w:r>
      <w:r w:rsidRPr="0038078F">
        <w:rPr>
          <w:rFonts w:ascii="Times New Roman" w:eastAsia="Times New Roman" w:hAnsi="Times New Roman" w:cs="Times New Roman"/>
          <w:sz w:val="20"/>
          <w:szCs w:val="20"/>
          <w:rtl/>
          <w:lang w:eastAsia="fr-FR"/>
        </w:rPr>
        <w:t>المصدر السابق. ص 413</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(7) </w:t>
      </w:r>
      <w:r w:rsidRPr="0038078F">
        <w:rPr>
          <w:rFonts w:ascii="Times New Roman" w:eastAsia="Times New Roman" w:hAnsi="Times New Roman" w:cs="Times New Roman"/>
          <w:sz w:val="20"/>
          <w:szCs w:val="20"/>
          <w:rtl/>
          <w:lang w:eastAsia="fr-FR"/>
        </w:rPr>
        <w:t xml:space="preserve">الاجتهاد في الاسلام. الشهيد مرتضى </w:t>
      </w:r>
      <w:proofErr w:type="spellStart"/>
      <w:r w:rsidRPr="0038078F">
        <w:rPr>
          <w:rFonts w:ascii="Times New Roman" w:eastAsia="Times New Roman" w:hAnsi="Times New Roman" w:cs="Times New Roman"/>
          <w:sz w:val="20"/>
          <w:szCs w:val="20"/>
          <w:rtl/>
          <w:lang w:eastAsia="fr-FR"/>
        </w:rPr>
        <w:t>المطهري</w:t>
      </w:r>
      <w:proofErr w:type="spellEnd"/>
      <w:r w:rsidRPr="0038078F">
        <w:rPr>
          <w:rFonts w:ascii="Times New Roman" w:eastAsia="Times New Roman" w:hAnsi="Times New Roman" w:cs="Times New Roman"/>
          <w:sz w:val="20"/>
          <w:szCs w:val="20"/>
          <w:rtl/>
          <w:lang w:eastAsia="fr-FR"/>
        </w:rPr>
        <w:t xml:space="preserve">، ترجمة جعفر صادق الخليلي. طهران. </w:t>
      </w:r>
      <w:proofErr w:type="gramStart"/>
      <w:r w:rsidRPr="0038078F">
        <w:rPr>
          <w:rFonts w:ascii="Times New Roman" w:eastAsia="Times New Roman" w:hAnsi="Times New Roman" w:cs="Times New Roman"/>
          <w:sz w:val="20"/>
          <w:szCs w:val="20"/>
          <w:rtl/>
          <w:lang w:eastAsia="fr-FR"/>
        </w:rPr>
        <w:t>مؤسسة</w:t>
      </w:r>
      <w:proofErr w:type="gramEnd"/>
      <w:r w:rsidRPr="0038078F">
        <w:rPr>
          <w:rFonts w:ascii="Times New Roman" w:eastAsia="Times New Roman" w:hAnsi="Times New Roman" w:cs="Times New Roman"/>
          <w:sz w:val="20"/>
          <w:szCs w:val="20"/>
          <w:rtl/>
          <w:lang w:eastAsia="fr-FR"/>
        </w:rPr>
        <w:t xml:space="preserve"> البعثة، ص 28</w:t>
      </w:r>
      <w:r w:rsidRPr="0038078F">
        <w:rPr>
          <w:rFonts w:ascii="Times New Roman" w:eastAsia="Times New Roman" w:hAnsi="Times New Roman" w:cs="Times New Roman"/>
          <w:sz w:val="20"/>
          <w:szCs w:val="20"/>
          <w:lang w:eastAsia="fr-FR"/>
        </w:rPr>
        <w:t xml:space="preserve">. </w:t>
      </w:r>
      <w:r w:rsidRPr="0038078F">
        <w:rPr>
          <w:rFonts w:ascii="Times New Roman" w:eastAsia="Times New Roman" w:hAnsi="Times New Roman" w:cs="Times New Roman"/>
          <w:sz w:val="20"/>
          <w:szCs w:val="20"/>
          <w:lang w:eastAsia="fr-FR"/>
        </w:rPr>
        <w:br/>
        <w:t xml:space="preserve">(8) </w:t>
      </w:r>
      <w:r w:rsidRPr="0038078F">
        <w:rPr>
          <w:rFonts w:ascii="Times New Roman" w:eastAsia="Times New Roman" w:hAnsi="Times New Roman" w:cs="Times New Roman"/>
          <w:sz w:val="20"/>
          <w:szCs w:val="20"/>
          <w:rtl/>
          <w:lang w:eastAsia="fr-FR"/>
        </w:rPr>
        <w:t xml:space="preserve">أول من اقترح تدشين علم جديد باسم (فلسفة الفقه) هو الشيخ محمد مجتهد </w:t>
      </w:r>
      <w:proofErr w:type="spellStart"/>
      <w:r w:rsidRPr="0038078F">
        <w:rPr>
          <w:rFonts w:ascii="Times New Roman" w:eastAsia="Times New Roman" w:hAnsi="Times New Roman" w:cs="Times New Roman"/>
          <w:sz w:val="20"/>
          <w:szCs w:val="20"/>
          <w:rtl/>
          <w:lang w:eastAsia="fr-FR"/>
        </w:rPr>
        <w:t>شبستري</w:t>
      </w:r>
      <w:proofErr w:type="spellEnd"/>
      <w:r w:rsidRPr="0038078F">
        <w:rPr>
          <w:rFonts w:ascii="Times New Roman" w:eastAsia="Times New Roman" w:hAnsi="Times New Roman" w:cs="Times New Roman"/>
          <w:sz w:val="20"/>
          <w:szCs w:val="20"/>
          <w:rtl/>
          <w:lang w:eastAsia="fr-FR"/>
        </w:rPr>
        <w:t xml:space="preserve"> ـ فيما نعلم ـ في حوار اجرته معه مجلة: نقد ونظر (العدد الاول، اكتوبر 1994م</w:t>
      </w:r>
      <w:proofErr w:type="gramStart"/>
      <w:r w:rsidRPr="0038078F">
        <w:rPr>
          <w:rFonts w:ascii="Times New Roman" w:eastAsia="Times New Roman" w:hAnsi="Times New Roman" w:cs="Times New Roman"/>
          <w:sz w:val="20"/>
          <w:szCs w:val="20"/>
          <w:rtl/>
          <w:lang w:eastAsia="fr-FR"/>
        </w:rPr>
        <w:t>)،</w:t>
      </w:r>
      <w:proofErr w:type="gramEnd"/>
      <w:r w:rsidRPr="0038078F">
        <w:rPr>
          <w:rFonts w:ascii="Times New Roman" w:eastAsia="Times New Roman" w:hAnsi="Times New Roman" w:cs="Times New Roman"/>
          <w:sz w:val="20"/>
          <w:szCs w:val="20"/>
          <w:rtl/>
          <w:lang w:eastAsia="fr-FR"/>
        </w:rPr>
        <w:t xml:space="preserve"> ص 18 ـ 28. [يلاحظ أن اهم بُعد في دعوة الشيخ مجتهد </w:t>
      </w:r>
      <w:proofErr w:type="spellStart"/>
      <w:r w:rsidRPr="0038078F">
        <w:rPr>
          <w:rFonts w:ascii="Times New Roman" w:eastAsia="Times New Roman" w:hAnsi="Times New Roman" w:cs="Times New Roman"/>
          <w:sz w:val="20"/>
          <w:szCs w:val="20"/>
          <w:rtl/>
          <w:lang w:eastAsia="fr-FR"/>
        </w:rPr>
        <w:t>شبستري</w:t>
      </w:r>
      <w:proofErr w:type="spellEnd"/>
      <w:r w:rsidRPr="0038078F">
        <w:rPr>
          <w:rFonts w:ascii="Times New Roman" w:eastAsia="Times New Roman" w:hAnsi="Times New Roman" w:cs="Times New Roman"/>
          <w:sz w:val="20"/>
          <w:szCs w:val="20"/>
          <w:rtl/>
          <w:lang w:eastAsia="fr-FR"/>
        </w:rPr>
        <w:t xml:space="preserve"> لتشكيل فلسفة الفقه هو دراسة قبليات الفقيه ومواقفه المسبقة واثرها في عملية الاستنباط</w:t>
      </w:r>
      <w:r w:rsidRPr="0038078F">
        <w:rPr>
          <w:rFonts w:ascii="Times New Roman" w:eastAsia="Times New Roman" w:hAnsi="Times New Roman" w:cs="Times New Roman"/>
          <w:sz w:val="20"/>
          <w:szCs w:val="20"/>
          <w:lang w:eastAsia="fr-FR"/>
        </w:rPr>
        <w:t>].</w:t>
      </w:r>
    </w:p>
    <w:sectPr w:rsidR="00227E52" w:rsidRPr="0038078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78F"/>
    <w:rsid w:val="00227E52"/>
    <w:rsid w:val="0038078F"/>
    <w:rsid w:val="0074336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8078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8078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1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2322</Words>
  <Characters>12775</Characters>
  <Application>Microsoft Office Word</Application>
  <DocSecurity>0</DocSecurity>
  <Lines>106</Lines>
  <Paragraphs>30</Paragraphs>
  <ScaleCrop>false</ScaleCrop>
  <Company/>
  <LinksUpToDate>false</LinksUpToDate>
  <CharactersWithSpaces>15067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2010-07-23T16:26:00Z</dcterms:created>
  <dcterms:modified xsi:type="dcterms:W3CDTF">2010-07-23T16:28:00Z</dcterms:modified>
</cp:coreProperties>
</file>