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10D" w:rsidRPr="00CE1594" w:rsidRDefault="0072772E" w:rsidP="00D96FE1">
      <w:pPr>
        <w:bidi/>
        <w:jc w:val="both"/>
        <w:rPr>
          <w:rFonts w:asciiTheme="majorBidi" w:hAnsiTheme="majorBidi" w:cstheme="majorBidi"/>
          <w:rtl/>
          <w:lang w:bidi="ar-TN"/>
        </w:rPr>
      </w:pPr>
      <w:r w:rsidRPr="00CE1594">
        <w:rPr>
          <w:rFonts w:asciiTheme="majorBidi" w:hAnsiTheme="majorBidi" w:cstheme="majorBidi"/>
          <w:rtl/>
          <w:lang w:bidi="ar-TN"/>
        </w:rPr>
        <w:t>السبحاني الموجز</w:t>
      </w:r>
    </w:p>
    <w:p w:rsidR="0072772E" w:rsidRPr="00CE1594" w:rsidRDefault="0072772E" w:rsidP="00D96FE1">
      <w:pPr>
        <w:bidi/>
        <w:jc w:val="both"/>
        <w:rPr>
          <w:rFonts w:asciiTheme="majorBidi" w:hAnsiTheme="majorBidi" w:cstheme="majorBidi"/>
          <w:rtl/>
          <w:lang w:bidi="ar-TN"/>
        </w:rPr>
      </w:pPr>
    </w:p>
    <w:p w:rsidR="0072772E" w:rsidRPr="00CE1594" w:rsidRDefault="0072772E" w:rsidP="00D96FE1">
      <w:pPr>
        <w:bidi/>
        <w:rPr>
          <w:rFonts w:asciiTheme="majorBidi" w:hAnsiTheme="majorBidi" w:cstheme="majorBidi"/>
          <w:sz w:val="32"/>
          <w:szCs w:val="32"/>
          <w:rtl/>
        </w:rPr>
      </w:pPr>
      <w:proofErr w:type="gramStart"/>
      <w:r w:rsidRPr="00CE1594">
        <w:rPr>
          <w:rFonts w:asciiTheme="majorBidi" w:hAnsiTheme="majorBidi" w:cstheme="majorBidi"/>
          <w:sz w:val="32"/>
          <w:szCs w:val="32"/>
          <w:rtl/>
        </w:rPr>
        <w:t>الفصل</w:t>
      </w:r>
      <w:proofErr w:type="gramEnd"/>
      <w:r w:rsidRPr="00CE1594">
        <w:rPr>
          <w:rFonts w:asciiTheme="majorBidi" w:hAnsiTheme="majorBidi" w:cstheme="majorBidi"/>
          <w:sz w:val="32"/>
          <w:szCs w:val="32"/>
          <w:rtl/>
        </w:rPr>
        <w:t xml:space="preserve"> الأوّل</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حجّية ظواهر الكتاب </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اتّفق العقلاء على أنّ ظاهر كلام كل متكلّم إذا كان جادّاً </w:t>
      </w:r>
      <w:proofErr w:type="spellStart"/>
      <w:r w:rsidRPr="00CE1594">
        <w:rPr>
          <w:rFonts w:asciiTheme="majorBidi" w:hAnsiTheme="majorBidi" w:cstheme="majorBidi"/>
          <w:sz w:val="32"/>
          <w:szCs w:val="32"/>
          <w:rtl/>
        </w:rPr>
        <w:t>لاهازلاً</w:t>
      </w:r>
      <w:proofErr w:type="spellEnd"/>
      <w:r w:rsidRPr="00CE1594">
        <w:rPr>
          <w:rFonts w:asciiTheme="majorBidi" w:hAnsiTheme="majorBidi" w:cstheme="majorBidi"/>
          <w:sz w:val="32"/>
          <w:szCs w:val="32"/>
          <w:rtl/>
        </w:rPr>
        <w:t>، حجّة و كاشف عن مراده، و لأجل ذلك يؤخذ بإقراره و اعترافه في المحاكم، و ينفّذ وصاياه، و يحتج برسائله و كتاباته.</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وآيات الكتاب الكريم إذا لم تكن مجملة ولا متشابهة، لها ظواهر كسائر الظواهر، فيحتج بها كما يحتج بسائر الظواهر، قال سبحانه(وَ لَقَدْ يَسّرنا القُرآنَ لِلذِّكْرِ فَهَلْ مِنْ مُدَّكِر )(القمر/17)و في الوقت نفسه أمر بالتدبّر، و قال:(أَفلا يَتَدَبَّرُونَ القُرآنَ أَمْ عَلى قُلُوب أَقْفالُها)(محمد/24) كلّ هذا يعرب عن كون ظواهر الكتاب كسائر الظواهر، حجّة أُلقيت للإفادة و الاستفادة و الاحتجاج و الاستدلال.</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نعم أنّ الاحتجاج بكلام المتكلّم يتوقّف على ثبوت أُمور:</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الأوّل: ثبوت صدوره من المتكلّم.</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الثاني: ثبوت جهة صدوره و أنّه لم يكن هازلاً </w:t>
      </w:r>
      <w:proofErr w:type="gramStart"/>
      <w:r w:rsidRPr="00CE1594">
        <w:rPr>
          <w:rFonts w:asciiTheme="majorBidi" w:hAnsiTheme="majorBidi" w:cstheme="majorBidi"/>
          <w:sz w:val="32"/>
          <w:szCs w:val="32"/>
          <w:rtl/>
        </w:rPr>
        <w:t>مثلاً</w:t>
      </w:r>
      <w:proofErr w:type="gramEnd"/>
      <w:r w:rsidRPr="00CE1594">
        <w:rPr>
          <w:rFonts w:asciiTheme="majorBidi" w:hAnsiTheme="majorBidi" w:cstheme="majorBidi"/>
          <w:sz w:val="32"/>
          <w:szCs w:val="32"/>
          <w:rtl/>
        </w:rPr>
        <w:t>.</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الثالث: ثبوت ظهور مفرداته و جمله.</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الرابع: حجّية ظهور كلامه و كونه متبعاً </w:t>
      </w:r>
      <w:proofErr w:type="gramStart"/>
      <w:r w:rsidRPr="00CE1594">
        <w:rPr>
          <w:rFonts w:asciiTheme="majorBidi" w:hAnsiTheme="majorBidi" w:cstheme="majorBidi"/>
          <w:sz w:val="32"/>
          <w:szCs w:val="32"/>
          <w:rtl/>
        </w:rPr>
        <w:t>في</w:t>
      </w:r>
      <w:proofErr w:type="gramEnd"/>
      <w:r w:rsidRPr="00CE1594">
        <w:rPr>
          <w:rFonts w:asciiTheme="majorBidi" w:hAnsiTheme="majorBidi" w:cstheme="majorBidi"/>
          <w:sz w:val="32"/>
          <w:szCs w:val="32"/>
          <w:rtl/>
        </w:rPr>
        <w:t xml:space="preserve"> كشف المراد. </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والأوّل ثاب</w:t>
      </w:r>
      <w:bookmarkStart w:id="0" w:name="_GoBack"/>
      <w:bookmarkEnd w:id="0"/>
      <w:r w:rsidRPr="00CE1594">
        <w:rPr>
          <w:rFonts w:asciiTheme="majorBidi" w:hAnsiTheme="majorBidi" w:cstheme="majorBidi"/>
          <w:sz w:val="32"/>
          <w:szCs w:val="32"/>
          <w:rtl/>
        </w:rPr>
        <w:t xml:space="preserve">ت بالتواتر والثاني بالضرورة حيث إنّه سبحانه أجلّ من أن يكون هازلاً. والمفروض ثبوت ظهور مفرداته ومركّباته و جُمَله بطرق من الطرق السابقة </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( 269 )</w:t>
      </w: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وهو التبادر و صحّة الحمل و السلب </w:t>
      </w:r>
      <w:proofErr w:type="spellStart"/>
      <w:r w:rsidRPr="00CE1594">
        <w:rPr>
          <w:rFonts w:asciiTheme="majorBidi" w:hAnsiTheme="majorBidi" w:cstheme="majorBidi"/>
          <w:sz w:val="32"/>
          <w:szCs w:val="32"/>
          <w:rtl/>
        </w:rPr>
        <w:t>والإطراد</w:t>
      </w:r>
      <w:proofErr w:type="spellEnd"/>
      <w:r w:rsidRPr="00CE1594">
        <w:rPr>
          <w:rFonts w:asciiTheme="majorBidi" w:hAnsiTheme="majorBidi" w:cstheme="majorBidi"/>
          <w:sz w:val="32"/>
          <w:szCs w:val="32"/>
          <w:rtl/>
        </w:rPr>
        <w:t xml:space="preserve">. و </w:t>
      </w:r>
      <w:proofErr w:type="gramStart"/>
      <w:r w:rsidRPr="00CE1594">
        <w:rPr>
          <w:rFonts w:asciiTheme="majorBidi" w:hAnsiTheme="majorBidi" w:cstheme="majorBidi"/>
          <w:sz w:val="32"/>
          <w:szCs w:val="32"/>
          <w:rtl/>
        </w:rPr>
        <w:t>لم</w:t>
      </w:r>
      <w:proofErr w:type="gramEnd"/>
      <w:r w:rsidRPr="00CE1594">
        <w:rPr>
          <w:rFonts w:asciiTheme="majorBidi" w:hAnsiTheme="majorBidi" w:cstheme="majorBidi"/>
          <w:sz w:val="32"/>
          <w:szCs w:val="32"/>
          <w:rtl/>
        </w:rPr>
        <w:t xml:space="preserve"> يبق إلاّ الأمر الرابع و هو حجّية ظهور كلامه، و الكتاب الكريم كتاب هداية و برنامج لسعادة الإنسان و المجتمع، </w:t>
      </w:r>
      <w:r w:rsidRPr="00CE1594">
        <w:rPr>
          <w:rFonts w:asciiTheme="majorBidi" w:hAnsiTheme="majorBidi" w:cstheme="majorBidi"/>
          <w:sz w:val="32"/>
          <w:szCs w:val="32"/>
          <w:rtl/>
        </w:rPr>
        <w:lastRenderedPageBreak/>
        <w:t>فلازم ذلك أن تكون ظواهره حجّة كسائر الظواهر، ولا وجه للاحتجاج بكلّ الظواهر إلاّ ظواهر الكتاب.</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ثمّ إنّ الأُصوليين جعلوا مطلق الظواهر من الظنون و قالوا باعتبارها و خروجها عن تحت الضابطة السالفة الذكر بدليل خاص، و هو بناء العقلاء على حجّية ظواهر كلام كلّ متكلّم، و لكن دقة النظر تقتضي أن تكون الظواهر من القطعيات لا الظنيّات.</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ويظهر ذلك بالبيان التالي:</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إنّ السير في المحاورات العرفية يرشدنا إلى أنّها من الأمارات القطعية على المراد الاستعمالي بشهادة </w:t>
      </w:r>
      <w:proofErr w:type="spellStart"/>
      <w:r w:rsidRPr="00CE1594">
        <w:rPr>
          <w:rFonts w:asciiTheme="majorBidi" w:hAnsiTheme="majorBidi" w:cstheme="majorBidi"/>
          <w:sz w:val="32"/>
          <w:szCs w:val="32"/>
          <w:rtl/>
        </w:rPr>
        <w:t>انّ</w:t>
      </w:r>
      <w:proofErr w:type="spellEnd"/>
      <w:r w:rsidRPr="00CE1594">
        <w:rPr>
          <w:rFonts w:asciiTheme="majorBidi" w:hAnsiTheme="majorBidi" w:cstheme="majorBidi"/>
          <w:sz w:val="32"/>
          <w:szCs w:val="32"/>
          <w:rtl/>
        </w:rPr>
        <w:t xml:space="preserve"> المتعلِّم يستدل بظاهر كلام المعلِّم على مراده. </w:t>
      </w:r>
      <w:proofErr w:type="gramStart"/>
      <w:r w:rsidRPr="00CE1594">
        <w:rPr>
          <w:rFonts w:asciiTheme="majorBidi" w:hAnsiTheme="majorBidi" w:cstheme="majorBidi"/>
          <w:sz w:val="32"/>
          <w:szCs w:val="32"/>
          <w:rtl/>
        </w:rPr>
        <w:t>وما</w:t>
      </w:r>
      <w:proofErr w:type="gramEnd"/>
      <w:r w:rsidRPr="00CE1594">
        <w:rPr>
          <w:rFonts w:asciiTheme="majorBidi" w:hAnsiTheme="majorBidi" w:cstheme="majorBidi"/>
          <w:sz w:val="32"/>
          <w:szCs w:val="32"/>
          <w:rtl/>
        </w:rPr>
        <w:t xml:space="preserve"> يدور بين البائع و المشتري من المفاهيم لا توصف بالظنية، وما يتفوّه به الطبيب يتلقّاه المريض أمراً واضحاً لا سترة فيه كما أنّ ما يتلّقاه السائل من جواب المجيب يسكن إليه دون أيّ تردد.</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roofErr w:type="gramStart"/>
      <w:r w:rsidRPr="00CE1594">
        <w:rPr>
          <w:rFonts w:asciiTheme="majorBidi" w:hAnsiTheme="majorBidi" w:cstheme="majorBidi"/>
          <w:sz w:val="32"/>
          <w:szCs w:val="32"/>
          <w:rtl/>
        </w:rPr>
        <w:t>فإذا</w:t>
      </w:r>
      <w:proofErr w:type="gramEnd"/>
      <w:r w:rsidRPr="00CE1594">
        <w:rPr>
          <w:rFonts w:asciiTheme="majorBidi" w:hAnsiTheme="majorBidi" w:cstheme="majorBidi"/>
          <w:sz w:val="32"/>
          <w:szCs w:val="32"/>
          <w:rtl/>
        </w:rPr>
        <w:t xml:space="preserve"> كانت هذه حال محاوراتنا العرفية في حياتنا الدنيويّة، فلتكن ظواهر الكتاب و السنّة كذلك فلماذا نجعلها ظنيّة الدلالة؟!</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نعم المطلوب من كونها قطعية الدلالة هو دلالتها بالقطع على المراد الاستعمالي لا المراد الجدي، لأنّ الموضوع على عاتق الكلام هو كشفه عمّا يدل عليه اللفظ بالوضع و ما يكشف عنه اللفظ الموضوع هو المراد الاستعمالي، و المفروض أنّ الظواهر كفيلة لإثبات هذا المعنى فلا وجه لجعلها ظنيّة الدلالة. وأمّا المراد الجدّي فإنّما يعلم بالأصل </w:t>
      </w:r>
      <w:proofErr w:type="spellStart"/>
      <w:r w:rsidRPr="00CE1594">
        <w:rPr>
          <w:rFonts w:asciiTheme="majorBidi" w:hAnsiTheme="majorBidi" w:cstheme="majorBidi"/>
          <w:sz w:val="32"/>
          <w:szCs w:val="32"/>
          <w:rtl/>
        </w:rPr>
        <w:t>العقلائي</w:t>
      </w:r>
      <w:proofErr w:type="spellEnd"/>
      <w:r w:rsidRPr="00CE1594">
        <w:rPr>
          <w:rFonts w:asciiTheme="majorBidi" w:hAnsiTheme="majorBidi" w:cstheme="majorBidi"/>
          <w:sz w:val="32"/>
          <w:szCs w:val="32"/>
          <w:rtl/>
        </w:rPr>
        <w:t xml:space="preserve"> أعني أصالة تطابق الإرادة الاستعمالية مع الجدّية.</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والذي صار </w:t>
      </w:r>
      <w:proofErr w:type="spellStart"/>
      <w:r w:rsidRPr="00CE1594">
        <w:rPr>
          <w:rFonts w:asciiTheme="majorBidi" w:hAnsiTheme="majorBidi" w:cstheme="majorBidi"/>
          <w:sz w:val="32"/>
          <w:szCs w:val="32"/>
          <w:rtl/>
        </w:rPr>
        <w:t>سبباًلعدِّ</w:t>
      </w:r>
      <w:proofErr w:type="spellEnd"/>
      <w:r w:rsidRPr="00CE1594">
        <w:rPr>
          <w:rFonts w:asciiTheme="majorBidi" w:hAnsiTheme="majorBidi" w:cstheme="majorBidi"/>
          <w:sz w:val="32"/>
          <w:szCs w:val="32"/>
          <w:rtl/>
        </w:rPr>
        <w:t xml:space="preserve"> الظواهر ظنّية هو تطرّق احتمالات عديدة إلى كلام </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( 270 )</w:t>
      </w: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المتكلّم، أعني:</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1. </w:t>
      </w:r>
      <w:proofErr w:type="gramStart"/>
      <w:r w:rsidRPr="00CE1594">
        <w:rPr>
          <w:rFonts w:asciiTheme="majorBidi" w:hAnsiTheme="majorBidi" w:cstheme="majorBidi"/>
          <w:sz w:val="32"/>
          <w:szCs w:val="32"/>
          <w:rtl/>
        </w:rPr>
        <w:t>احتمال</w:t>
      </w:r>
      <w:proofErr w:type="gramEnd"/>
      <w:r w:rsidRPr="00CE1594">
        <w:rPr>
          <w:rFonts w:asciiTheme="majorBidi" w:hAnsiTheme="majorBidi" w:cstheme="majorBidi"/>
          <w:sz w:val="32"/>
          <w:szCs w:val="32"/>
          <w:rtl/>
        </w:rPr>
        <w:t xml:space="preserve"> كون المتكلّم هازلاً، 2. أو كونه مورّياً في مقاله، 3. أو ملقياً على وجه التقية ، 4. أو كون المراد الجدّي غير المراد الاستعمالي </w:t>
      </w:r>
      <w:proofErr w:type="gramStart"/>
      <w:r w:rsidRPr="00CE1594">
        <w:rPr>
          <w:rFonts w:asciiTheme="majorBidi" w:hAnsiTheme="majorBidi" w:cstheme="majorBidi"/>
          <w:sz w:val="32"/>
          <w:szCs w:val="32"/>
          <w:rtl/>
        </w:rPr>
        <w:t>من حيث ا</w:t>
      </w:r>
      <w:proofErr w:type="gramEnd"/>
      <w:r w:rsidRPr="00CE1594">
        <w:rPr>
          <w:rFonts w:asciiTheme="majorBidi" w:hAnsiTheme="majorBidi" w:cstheme="majorBidi"/>
          <w:sz w:val="32"/>
          <w:szCs w:val="32"/>
          <w:rtl/>
        </w:rPr>
        <w:t xml:space="preserve">لسعة والضيق </w:t>
      </w:r>
      <w:r w:rsidRPr="00CE1594">
        <w:rPr>
          <w:rFonts w:asciiTheme="majorBidi" w:hAnsiTheme="majorBidi" w:cstheme="majorBidi"/>
          <w:sz w:val="32"/>
          <w:szCs w:val="32"/>
          <w:rtl/>
        </w:rPr>
        <w:lastRenderedPageBreak/>
        <w:t>بورود التخصيص أو التقييد عليه.فلأجل وجود تلك الاحتمالات جعلوا الظواهر من الظنون .</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يلاحظ عليه: أنّ أكثر هذه الأُمور موجودة في النص أيضاً مع أنّهم جعلوه من القطعيات، و وجه ذلك أنّ نفي هذه الاحتمالات ليس على عاتق الظواهر حتى تصير لأجل عدم التمكّن من دفعها ظنية، بل لا صلة لها بها و إنّما الدافع لتلك الاحتمالات هو الأُصول </w:t>
      </w:r>
      <w:proofErr w:type="spellStart"/>
      <w:r w:rsidRPr="00CE1594">
        <w:rPr>
          <w:rFonts w:asciiTheme="majorBidi" w:hAnsiTheme="majorBidi" w:cstheme="majorBidi"/>
          <w:sz w:val="32"/>
          <w:szCs w:val="32"/>
          <w:rtl/>
        </w:rPr>
        <w:t>العقلائية</w:t>
      </w:r>
      <w:proofErr w:type="spellEnd"/>
      <w:r w:rsidRPr="00CE1594">
        <w:rPr>
          <w:rFonts w:asciiTheme="majorBidi" w:hAnsiTheme="majorBidi" w:cstheme="majorBidi"/>
          <w:sz w:val="32"/>
          <w:szCs w:val="32"/>
          <w:rtl/>
        </w:rPr>
        <w:t xml:space="preserve"> الدالّة على أنّ الأصل في كلام المتكلّم كونه جادّاً، لا هازلاً و لا مورّياً ولا ملقياً على وجه التقية، كما أنّ الأصل هو تطابق الإرادة الاستعمالية مع الإرادة الجدية، مالم يدل دليل على خلافه كما في مورد التخصيص و التقييد.</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فالوظيفة الملقاة على عهدة الظواهر هي إحضار المراد الاستعمالي في ذهن المخاطب و هي تحضره على وجه القطع و البت بلا تردد و شك. وأمّا سائر الاحتمالات فليست هي المسؤولة عن نفيها حتى توصف لأجلها بالظنية على أنّ أكثر هذه الاحتمالات بل جميعها منتفية في المحاورات العرفية و إنّما هي شكوك علميّة </w:t>
      </w:r>
      <w:proofErr w:type="spellStart"/>
      <w:r w:rsidRPr="00CE1594">
        <w:rPr>
          <w:rFonts w:asciiTheme="majorBidi" w:hAnsiTheme="majorBidi" w:cstheme="majorBidi"/>
          <w:sz w:val="32"/>
          <w:szCs w:val="32"/>
          <w:rtl/>
        </w:rPr>
        <w:t>مغفولة</w:t>
      </w:r>
      <w:proofErr w:type="spellEnd"/>
      <w:r w:rsidRPr="00CE1594">
        <w:rPr>
          <w:rFonts w:asciiTheme="majorBidi" w:hAnsiTheme="majorBidi" w:cstheme="majorBidi"/>
          <w:sz w:val="32"/>
          <w:szCs w:val="32"/>
          <w:rtl/>
        </w:rPr>
        <w:t xml:space="preserve"> للعقلاء.</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فخرجنا بالنتيجة التالية:</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إنّ دلالة القرآن والسنّة و كذا دلالة كلام كلّ متكلّم على مراده من الأُمور القطعية شريطة أن تكون ظاهرة لا مجملة، محكمة لا متشابهة.و يكون المراد من قطعيتها، كونها قطعية الدلالة على المراد الاستعمالي.</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نعم الفرق بين الظاهر و النص، هو </w:t>
      </w:r>
      <w:proofErr w:type="spellStart"/>
      <w:r w:rsidRPr="00CE1594">
        <w:rPr>
          <w:rFonts w:asciiTheme="majorBidi" w:hAnsiTheme="majorBidi" w:cstheme="majorBidi"/>
          <w:sz w:val="32"/>
          <w:szCs w:val="32"/>
          <w:rtl/>
        </w:rPr>
        <w:t>انّ</w:t>
      </w:r>
      <w:proofErr w:type="spellEnd"/>
      <w:r w:rsidRPr="00CE1594">
        <w:rPr>
          <w:rFonts w:asciiTheme="majorBidi" w:hAnsiTheme="majorBidi" w:cstheme="majorBidi"/>
          <w:sz w:val="32"/>
          <w:szCs w:val="32"/>
          <w:rtl/>
        </w:rPr>
        <w:t xml:space="preserve"> الأوّل قابل للتأويل إذا دلّت عليه القرينة، بخلاف النصّ فلا يقبل التأويل و يعدّ التأويل تناقضاً .</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( 271 )</w:t>
      </w: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وفي خاتمة البحث نذكر أمرين:</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أ. </w:t>
      </w:r>
      <w:proofErr w:type="spellStart"/>
      <w:r w:rsidRPr="00CE1594">
        <w:rPr>
          <w:rFonts w:asciiTheme="majorBidi" w:hAnsiTheme="majorBidi" w:cstheme="majorBidi"/>
          <w:sz w:val="32"/>
          <w:szCs w:val="32"/>
          <w:rtl/>
        </w:rPr>
        <w:t>انّ</w:t>
      </w:r>
      <w:proofErr w:type="spellEnd"/>
      <w:r w:rsidRPr="00CE1594">
        <w:rPr>
          <w:rFonts w:asciiTheme="majorBidi" w:hAnsiTheme="majorBidi" w:cstheme="majorBidi"/>
          <w:sz w:val="32"/>
          <w:szCs w:val="32"/>
          <w:rtl/>
        </w:rPr>
        <w:t xml:space="preserve"> القول بعدم حجّية ظواهر الكتاب العزيز، كما نسب إلى </w:t>
      </w:r>
      <w:proofErr w:type="spellStart"/>
      <w:r w:rsidRPr="00CE1594">
        <w:rPr>
          <w:rFonts w:asciiTheme="majorBidi" w:hAnsiTheme="majorBidi" w:cstheme="majorBidi"/>
          <w:sz w:val="32"/>
          <w:szCs w:val="32"/>
          <w:rtl/>
        </w:rPr>
        <w:t>الأخباريين</w:t>
      </w:r>
      <w:proofErr w:type="spellEnd"/>
      <w:r w:rsidRPr="00CE1594">
        <w:rPr>
          <w:rFonts w:asciiTheme="majorBidi" w:hAnsiTheme="majorBidi" w:cstheme="majorBidi"/>
          <w:sz w:val="32"/>
          <w:szCs w:val="32"/>
          <w:rtl/>
        </w:rPr>
        <w:t xml:space="preserve"> دعوى تقشعرّ منها الجلود، و ترتعد منها الفرائص، إذ كيف توصف حجّةُ اللّه الكبرى، و الثقل الأعظم، بعدم الحجّية مع أنّ الكتاب هو المعجزة الكبرى للنبيّ ـ صلَّى الله عليه </w:t>
      </w:r>
      <w:proofErr w:type="spellStart"/>
      <w:r w:rsidRPr="00CE1594">
        <w:rPr>
          <w:rFonts w:asciiTheme="majorBidi" w:hAnsiTheme="majorBidi" w:cstheme="majorBidi"/>
          <w:sz w:val="32"/>
          <w:szCs w:val="32"/>
          <w:rtl/>
        </w:rPr>
        <w:lastRenderedPageBreak/>
        <w:t>وآله</w:t>
      </w:r>
      <w:proofErr w:type="spellEnd"/>
      <w:r w:rsidRPr="00CE1594">
        <w:rPr>
          <w:rFonts w:asciiTheme="majorBidi" w:hAnsiTheme="majorBidi" w:cstheme="majorBidi"/>
          <w:sz w:val="32"/>
          <w:szCs w:val="32"/>
          <w:rtl/>
        </w:rPr>
        <w:t xml:space="preserve"> وسلَّم ـ </w:t>
      </w:r>
      <w:proofErr w:type="spellStart"/>
      <w:r w:rsidRPr="00CE1594">
        <w:rPr>
          <w:rFonts w:asciiTheme="majorBidi" w:hAnsiTheme="majorBidi" w:cstheme="majorBidi"/>
          <w:sz w:val="32"/>
          <w:szCs w:val="32"/>
          <w:rtl/>
        </w:rPr>
        <w:t>أفيمكن</w:t>
      </w:r>
      <w:proofErr w:type="spellEnd"/>
      <w:r w:rsidRPr="00CE1594">
        <w:rPr>
          <w:rFonts w:asciiTheme="majorBidi" w:hAnsiTheme="majorBidi" w:cstheme="majorBidi"/>
          <w:sz w:val="32"/>
          <w:szCs w:val="32"/>
          <w:rtl/>
        </w:rPr>
        <w:t xml:space="preserve"> أن يكون معجزاً ولا يُحتج بظواهره ومفاهيمه مع أنّ الإعجاز قائم على اللفظ و المعنى معاً؟!</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ب. ليس المراد من حجّية ظواهر القرآن هو استكشاف مراده سبحانه من دون مراجعة إلى ما يحكم به العقل في موردها، أو من دون مراجعة إلى الآيات الأُخرى التي تصلح لأن تكون قرينة على المراد، أو من دون مراجعة إلى الأحاديث النبوية و روايات العترة الطاهرة في إيضاح </w:t>
      </w:r>
      <w:proofErr w:type="spellStart"/>
      <w:r w:rsidRPr="00CE1594">
        <w:rPr>
          <w:rFonts w:asciiTheme="majorBidi" w:hAnsiTheme="majorBidi" w:cstheme="majorBidi"/>
          <w:sz w:val="32"/>
          <w:szCs w:val="32"/>
          <w:rtl/>
        </w:rPr>
        <w:t>مجملاته</w:t>
      </w:r>
      <w:proofErr w:type="spellEnd"/>
      <w:r w:rsidRPr="00CE1594">
        <w:rPr>
          <w:rFonts w:asciiTheme="majorBidi" w:hAnsiTheme="majorBidi" w:cstheme="majorBidi"/>
          <w:sz w:val="32"/>
          <w:szCs w:val="32"/>
          <w:rtl/>
        </w:rPr>
        <w:t xml:space="preserve"> و تخصيص </w:t>
      </w:r>
      <w:proofErr w:type="spellStart"/>
      <w:r w:rsidRPr="00CE1594">
        <w:rPr>
          <w:rFonts w:asciiTheme="majorBidi" w:hAnsiTheme="majorBidi" w:cstheme="majorBidi"/>
          <w:sz w:val="32"/>
          <w:szCs w:val="32"/>
          <w:rtl/>
        </w:rPr>
        <w:t>عموماته</w:t>
      </w:r>
      <w:proofErr w:type="spellEnd"/>
      <w:r w:rsidRPr="00CE1594">
        <w:rPr>
          <w:rFonts w:asciiTheme="majorBidi" w:hAnsiTheme="majorBidi" w:cstheme="majorBidi"/>
          <w:sz w:val="32"/>
          <w:szCs w:val="32"/>
          <w:rtl/>
        </w:rPr>
        <w:t xml:space="preserve"> وتقييد مطلقاته.</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proofErr w:type="gramStart"/>
      <w:r w:rsidRPr="00CE1594">
        <w:rPr>
          <w:rFonts w:asciiTheme="majorBidi" w:hAnsiTheme="majorBidi" w:cstheme="majorBidi"/>
          <w:sz w:val="32"/>
          <w:szCs w:val="32"/>
          <w:rtl/>
        </w:rPr>
        <w:t>فالاستبداد</w:t>
      </w:r>
      <w:proofErr w:type="gramEnd"/>
      <w:r w:rsidRPr="00CE1594">
        <w:rPr>
          <w:rFonts w:asciiTheme="majorBidi" w:hAnsiTheme="majorBidi" w:cstheme="majorBidi"/>
          <w:sz w:val="32"/>
          <w:szCs w:val="32"/>
          <w:rtl/>
        </w:rPr>
        <w:t xml:space="preserve"> في فهم القرآن مع غض النظر عمّا ورد حوله من سائر الحجج ضلال لا شكّ فيه، كيف؟ واللّه سبحانه يقول:(وَأَنْزَلْنا إِلَيْكَ الذِّكْر لِتُبَيِّنَ لِلنّاسِ ما نُزِّلَ إِلَيْهِمْ وَلَعَلَّهُمْ يَتَفَكَرُونَ) (النحل/44) فجعل النبي مبيِّناً للقرآن و أمر الناس بالتفكر فيه، فللرسول سهم في إفهام القرآن كما أنّ </w:t>
      </w:r>
      <w:proofErr w:type="spellStart"/>
      <w:r w:rsidRPr="00CE1594">
        <w:rPr>
          <w:rFonts w:asciiTheme="majorBidi" w:hAnsiTheme="majorBidi" w:cstheme="majorBidi"/>
          <w:sz w:val="32"/>
          <w:szCs w:val="32"/>
          <w:rtl/>
        </w:rPr>
        <w:t>لتفكرالناس</w:t>
      </w:r>
      <w:proofErr w:type="spellEnd"/>
      <w:r w:rsidRPr="00CE1594">
        <w:rPr>
          <w:rFonts w:asciiTheme="majorBidi" w:hAnsiTheme="majorBidi" w:cstheme="majorBidi"/>
          <w:sz w:val="32"/>
          <w:szCs w:val="32"/>
          <w:rtl/>
        </w:rPr>
        <w:t xml:space="preserve"> و إمعان النظر فيه سهماً آخر، و بهذين الجناحين يُحلِّق الإنسان في سماء معارفه، و يستفيد من حِكَمِه و قوانينه.</w:t>
      </w:r>
    </w:p>
    <w:p w:rsidR="0072772E" w:rsidRPr="00CE1594" w:rsidRDefault="0072772E" w:rsidP="00D96FE1">
      <w:pPr>
        <w:bidi/>
        <w:rPr>
          <w:rFonts w:asciiTheme="majorBidi" w:hAnsiTheme="majorBidi" w:cstheme="majorBidi"/>
          <w:sz w:val="32"/>
          <w:szCs w:val="32"/>
          <w:rtl/>
        </w:rPr>
      </w:pPr>
    </w:p>
    <w:p w:rsidR="0072772E" w:rsidRPr="00CE1594" w:rsidRDefault="0072772E" w:rsidP="00D96FE1">
      <w:pPr>
        <w:bidi/>
        <w:rPr>
          <w:rFonts w:asciiTheme="majorBidi" w:hAnsiTheme="majorBidi" w:cstheme="majorBidi"/>
          <w:sz w:val="32"/>
          <w:szCs w:val="32"/>
          <w:rtl/>
        </w:rPr>
      </w:pPr>
      <w:r w:rsidRPr="00CE1594">
        <w:rPr>
          <w:rFonts w:asciiTheme="majorBidi" w:hAnsiTheme="majorBidi" w:cstheme="majorBidi"/>
          <w:sz w:val="32"/>
          <w:szCs w:val="32"/>
          <w:rtl/>
        </w:rPr>
        <w:t xml:space="preserve">وبذلك تقف على مفاد الأخبار المندِّدة بفعل فقهاء العامة كأبي حنيفة و قتادة، فإنّهم كانوا يستبدون بنفس القرآن من دون الرجوع إلى حديث العترة الطاهرة في </w:t>
      </w:r>
      <w:proofErr w:type="spellStart"/>
      <w:r w:rsidRPr="00CE1594">
        <w:rPr>
          <w:rFonts w:asciiTheme="majorBidi" w:hAnsiTheme="majorBidi" w:cstheme="majorBidi"/>
          <w:sz w:val="32"/>
          <w:szCs w:val="32"/>
          <w:rtl/>
        </w:rPr>
        <w:t>مجملاته</w:t>
      </w:r>
      <w:proofErr w:type="spellEnd"/>
      <w:r w:rsidRPr="00CE1594">
        <w:rPr>
          <w:rFonts w:asciiTheme="majorBidi" w:hAnsiTheme="majorBidi" w:cstheme="majorBidi"/>
          <w:sz w:val="32"/>
          <w:szCs w:val="32"/>
          <w:rtl/>
        </w:rPr>
        <w:t xml:space="preserve"> و </w:t>
      </w:r>
      <w:proofErr w:type="spellStart"/>
      <w:r w:rsidRPr="00CE1594">
        <w:rPr>
          <w:rFonts w:asciiTheme="majorBidi" w:hAnsiTheme="majorBidi" w:cstheme="majorBidi"/>
          <w:sz w:val="32"/>
          <w:szCs w:val="32"/>
          <w:rtl/>
        </w:rPr>
        <w:t>مبهماته</w:t>
      </w:r>
      <w:proofErr w:type="spellEnd"/>
      <w:r w:rsidRPr="00CE1594">
        <w:rPr>
          <w:rFonts w:asciiTheme="majorBidi" w:hAnsiTheme="majorBidi" w:cstheme="majorBidi"/>
          <w:sz w:val="32"/>
          <w:szCs w:val="32"/>
          <w:rtl/>
        </w:rPr>
        <w:t xml:space="preserve"> و </w:t>
      </w:r>
      <w:proofErr w:type="spellStart"/>
      <w:r w:rsidRPr="00CE1594">
        <w:rPr>
          <w:rFonts w:asciiTheme="majorBidi" w:hAnsiTheme="majorBidi" w:cstheme="majorBidi"/>
          <w:sz w:val="32"/>
          <w:szCs w:val="32"/>
          <w:rtl/>
        </w:rPr>
        <w:t>عموماته</w:t>
      </w:r>
      <w:proofErr w:type="spellEnd"/>
      <w:r w:rsidRPr="00CE1594">
        <w:rPr>
          <w:rFonts w:asciiTheme="majorBidi" w:hAnsiTheme="majorBidi" w:cstheme="majorBidi"/>
          <w:sz w:val="32"/>
          <w:szCs w:val="32"/>
          <w:rtl/>
        </w:rPr>
        <w:t xml:space="preserve"> و مطلقاته. فالاستبداد بالقرآن شيء، و الاحتجاج بالقرآن بعد الرجوع إلى الأحاديث شيء آخر، و الأوّل هو </w:t>
      </w:r>
      <w:proofErr w:type="gramStart"/>
      <w:r w:rsidRPr="00CE1594">
        <w:rPr>
          <w:rFonts w:asciiTheme="majorBidi" w:hAnsiTheme="majorBidi" w:cstheme="majorBidi"/>
          <w:sz w:val="32"/>
          <w:szCs w:val="32"/>
          <w:rtl/>
        </w:rPr>
        <w:t>الممنوع</w:t>
      </w:r>
      <w:proofErr w:type="gramEnd"/>
      <w:r w:rsidRPr="00CE1594">
        <w:rPr>
          <w:rFonts w:asciiTheme="majorBidi" w:hAnsiTheme="majorBidi" w:cstheme="majorBidi"/>
          <w:sz w:val="32"/>
          <w:szCs w:val="32"/>
          <w:rtl/>
        </w:rPr>
        <w:t xml:space="preserve"> و الثاني هو الذي جرى عليه أصحابنا ـ رضوان اللّه عليهم ـ.</w:t>
      </w:r>
    </w:p>
    <w:p w:rsidR="0072772E" w:rsidRPr="00CE1594" w:rsidRDefault="0072772E" w:rsidP="00D96FE1">
      <w:pPr>
        <w:bidi/>
        <w:jc w:val="both"/>
        <w:rPr>
          <w:rFonts w:asciiTheme="majorBidi" w:hAnsiTheme="majorBidi" w:cstheme="majorBidi"/>
          <w:rtl/>
          <w:lang w:val="fr-FR"/>
        </w:rPr>
      </w:pPr>
    </w:p>
    <w:sectPr w:rsidR="0072772E" w:rsidRPr="00CE1594" w:rsidSect="002F51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2"/>
  </w:compat>
  <w:rsids>
    <w:rsidRoot w:val="0072772E"/>
    <w:rsid w:val="000E589B"/>
    <w:rsid w:val="001456EF"/>
    <w:rsid w:val="001833B3"/>
    <w:rsid w:val="002F510D"/>
    <w:rsid w:val="00621B2B"/>
    <w:rsid w:val="0072772E"/>
    <w:rsid w:val="008879D9"/>
    <w:rsid w:val="009B1D13"/>
    <w:rsid w:val="00CE1594"/>
    <w:rsid w:val="00D96FE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848</Words>
  <Characters>4670</Characters>
  <Application>Microsoft Office Word</Application>
  <DocSecurity>0</DocSecurity>
  <Lines>38</Lines>
  <Paragraphs>11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5507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LG</cp:lastModifiedBy>
  <cp:revision>5</cp:revision>
  <dcterms:created xsi:type="dcterms:W3CDTF">2008-02-13T16:45:00Z</dcterms:created>
  <dcterms:modified xsi:type="dcterms:W3CDTF">2011-11-29T15:56:00Z</dcterms:modified>
</cp:coreProperties>
</file>