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C51" w:rsidRDefault="00181E0E" w:rsidP="00181E0E">
      <w:pPr>
        <w:bidi/>
      </w:pPr>
      <w:r>
        <w:rPr>
          <w:rFonts w:ascii="Tahoma" w:hAnsi="Tahoma" w:cs="Tahoma"/>
          <w:color w:val="333333"/>
          <w:sz w:val="17"/>
          <w:szCs w:val="17"/>
          <w:rtl/>
        </w:rPr>
        <w:t>شفــــاف الشــــرق الأوســــط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المرأة التونسية منعت تعدّد الزوجات منذ 9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قرون</w:t>
      </w:r>
      <w:r>
        <w:rPr>
          <w:rFonts w:ascii="Tahoma" w:hAnsi="Tahoma" w:cs="Tahoma"/>
          <w:color w:val="333333"/>
          <w:sz w:val="17"/>
          <w:szCs w:val="17"/>
        </w:rPr>
        <w:br/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د.إقبال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الغربي – تونس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جامعة الزيتونة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إن مآخذ المفكّر إدوارد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سعيد على المستشرقين يمكن تلخيصها في قوله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الشهير:"عندما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نتكلّم عن الإسلام غالبا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ما نتناسى بعدي الزّمان والمكان". أي أن إدوارد سعيد في نقضه لمؤسسة الاستشراق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انتقد بشدّة المقاربات التي تأخذ الإسلام خارج التاريخ.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بيد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أن هذه النوعية في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الدّراسات العابرة للتاريخ نجدها أيضا خارج المجال المعرفي الّذي ركّز عليه هذا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المفكّر والمتخصّص في "صناعة الآخر". فهي إمّا مقاربات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تمجيدية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دفاعية تريد بكلّ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قسريّة إسقاط مفاهيم حداثية وعصرية على الإسلام أو مقاربات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تحقيرية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تعتبر الإسلام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يحتوي على "رصيد جيني" في التعصّب والانغلاق. وفي كلتا الحالتين نقع في التعميم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كعائق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ابستيمولوجي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عندما نعتبر المنظومة الإسلامية كتلة واحدة، جامعة مانعة، لا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تتأثّر بالظروف المحيطة بها.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وهوخطأ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منهجي غالبا ما نقع فيها عندما ندرس شرط المرأة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في الإسلام.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وهو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شرط متغيّر، يختلف من جماعة إلى جماعة ومن قطر إلى قطر ومن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ومن</w:t>
      </w:r>
      <w:proofErr w:type="spellEnd"/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المدينة إلى الرّيف مثلا</w:t>
      </w:r>
      <w:r>
        <w:rPr>
          <w:rFonts w:ascii="Tahoma" w:hAnsi="Tahoma" w:cs="Tahoma"/>
          <w:color w:val="333333"/>
          <w:sz w:val="17"/>
          <w:szCs w:val="17"/>
        </w:rPr>
        <w:t>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وفي هذا الصّدد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تمدّنا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الوثائق التاريخية والأدبية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والإخبارية بالعديد من المعطيات المتعلّقة بوضعية المرأة.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بيد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أن النّصوص الفقهية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المتعلّقة بالنّوازل والفتاوى تمدّنا أيضا بمعلومات وبمؤشرات هامّة حول شرط المرأة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ونوعية العلاقة بين الجنسية في مجتمع ما. ويمكّننا فقه النّوازل والمعاملات أوّلا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من تنسيب الصّورة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المنمطة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عن المرأة المسلمة وثانيا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 xml:space="preserve"> من تجاوز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النظرة التبسيطية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المعمّقة لتراثنا الثريّ والمعقّد الّذي لا يمكن للنصـوص أن تحيـط بـه</w:t>
      </w:r>
      <w:r>
        <w:rPr>
          <w:rFonts w:ascii="Tahoma" w:hAnsi="Tahoma" w:cs="Tahoma"/>
          <w:color w:val="333333"/>
          <w:sz w:val="17"/>
          <w:szCs w:val="17"/>
        </w:rPr>
        <w:t>.</w:t>
      </w:r>
      <w:r>
        <w:rPr>
          <w:rFonts w:ascii="Tahoma" w:hAnsi="Tahoma" w:cs="Tahoma"/>
          <w:color w:val="333333"/>
          <w:sz w:val="17"/>
          <w:szCs w:val="17"/>
        </w:rPr>
        <w:br/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فالمراة</w:t>
      </w:r>
      <w:proofErr w:type="spellEnd"/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بإفريقية مثلا فرض نوعا جديدا وموازيا من العقود. فقد كانت تتزوّج لما يسمّى "العقد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القيرواني" الّذي يحميها من تعدّد الزوجات والّذي يمكّن المرأة من حقّ تطليق أيّ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زوجة جديدة للزوج ومن منعه من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التسرّي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أي اتخاذ الجواري وتأسيـس حريم (1)ولعلّ أشهر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زواج قيرواني هو زواج المعزّ لدين اللّه الفاطمي الّذي منعته زوجته التونسية من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التعدّد</w:t>
      </w:r>
      <w:r>
        <w:rPr>
          <w:rFonts w:ascii="Tahoma" w:hAnsi="Tahoma" w:cs="Tahoma"/>
          <w:color w:val="333333"/>
          <w:sz w:val="17"/>
          <w:szCs w:val="17"/>
        </w:rPr>
        <w:t>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وكما لعبت المرأة دورا رئيسيا في تصوّر مؤسسة الزّواج فقد حدّدت أيضا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مستقبل ومصير علاقتها الزوجية .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إذ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كان مكانها أن تشترط في العقد أن يكون أمرها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بيدها إذا تغيّب الزوج لمدّة معينة ومذكورة في العقد (أربعة أشهر مثلا). ففي هذه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الحقبة التاريخية – القرن الحادي عشر ميلادي- اضطربت الأوضاع وتوتّرت بسبب زحف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القبائل العربية ما بني هلال وبني سليم على إفريقية لمعاقبة السلطان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الزيري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المعزّ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ابن باديس الّذي خرج عن طاعة الفاطميين. وقد أدّى انعدام الأمن وانقطاع الطرق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والمسالك دون ممارسة الأنشطة العاديّة للنّاس من سفر وتجارة وحجّ ممّا أعاق رجوع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الغائبين ولمدّة طويلة سواء بسبب الأسر أو القتل أو المنع. وقد أنتجت هذه العوامل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التاريخية ظاهرة اجتماعية وهي غياب الرّجل / الزوج أو تعمّده التغيّب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عن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زوجته. وفي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هذه الحالات كان للمرأة حق طلب الطلاق وكان القاضي يضرب أجلا للمفقود الغائب ويمنح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الزوجة جميع الصداق ويمكّنها من الزواج مرّة ثانية </w:t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(2</w:t>
      </w:r>
      <w:r>
        <w:rPr>
          <w:rFonts w:ascii="Tahoma" w:hAnsi="Tahoma" w:cs="Tahoma"/>
          <w:color w:val="333333"/>
          <w:sz w:val="17"/>
          <w:szCs w:val="17"/>
        </w:rPr>
        <w:t>) .</w:t>
      </w:r>
      <w:proofErr w:type="gramEnd"/>
      <w:r>
        <w:rPr>
          <w:rFonts w:ascii="Tahoma" w:hAnsi="Tahoma" w:cs="Tahoma"/>
          <w:color w:val="333333"/>
          <w:sz w:val="17"/>
          <w:szCs w:val="17"/>
        </w:rPr>
        <w:br/>
      </w:r>
      <w:proofErr w:type="gramStart"/>
      <w:r>
        <w:rPr>
          <w:rFonts w:ascii="Tahoma" w:hAnsi="Tahoma" w:cs="Tahoma"/>
          <w:color w:val="333333"/>
          <w:sz w:val="17"/>
          <w:szCs w:val="17"/>
          <w:rtl/>
        </w:rPr>
        <w:t>وفي</w:t>
      </w:r>
      <w:proofErr w:type="gramEnd"/>
      <w:r>
        <w:rPr>
          <w:rFonts w:ascii="Tahoma" w:hAnsi="Tahoma" w:cs="Tahoma"/>
          <w:color w:val="333333"/>
          <w:sz w:val="17"/>
          <w:szCs w:val="17"/>
          <w:rtl/>
        </w:rPr>
        <w:t xml:space="preserve"> نفس هذا السياق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استطاعت المرأة في إفريقية أن تفرض العديد من الحقوق مثل حق توريث المرأة ذات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الرّحم أو من هو من نسلها ممّا مكّنها من تكوين ثروات وأملاك خاصّة بها</w:t>
      </w:r>
      <w:r>
        <w:rPr>
          <w:rFonts w:ascii="Tahoma" w:hAnsi="Tahoma" w:cs="Tahoma"/>
          <w:color w:val="333333"/>
          <w:sz w:val="17"/>
          <w:szCs w:val="17"/>
        </w:rPr>
        <w:t>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تبيّن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لنا هذه الفتاوى إذن كيفية اختراق المنظومة الفقهية القائمة على </w:t>
      </w:r>
      <w:proofErr w:type="spellStart"/>
      <w:r>
        <w:rPr>
          <w:rFonts w:ascii="Tahoma" w:hAnsi="Tahoma" w:cs="Tahoma"/>
          <w:color w:val="333333"/>
          <w:sz w:val="17"/>
          <w:szCs w:val="17"/>
          <w:rtl/>
        </w:rPr>
        <w:t>مراتبية</w:t>
      </w:r>
      <w:proofErr w:type="spellEnd"/>
      <w:r>
        <w:rPr>
          <w:rFonts w:ascii="Tahoma" w:hAnsi="Tahoma" w:cs="Tahoma"/>
          <w:color w:val="333333"/>
          <w:sz w:val="17"/>
          <w:szCs w:val="17"/>
          <w:rtl/>
        </w:rPr>
        <w:t xml:space="preserve"> صارمة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والتي تفصل بجدار حيني بين الحاكم والمحكوم ، بين الرّجل والمرأة ، بين العامّة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والخاصّة ، بين البدو والحضر إلخ</w:t>
      </w:r>
      <w:r>
        <w:rPr>
          <w:rFonts w:ascii="Tahoma" w:hAnsi="Tahoma" w:cs="Tahoma"/>
          <w:color w:val="333333"/>
          <w:sz w:val="17"/>
          <w:szCs w:val="17"/>
        </w:rPr>
        <w:t>...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هذا الاختراق الّذي يجسّر "مقاومة الضعفاء</w:t>
      </w:r>
      <w:r>
        <w:rPr>
          <w:rFonts w:ascii="Tahoma" w:hAnsi="Tahoma" w:cs="Tahoma"/>
          <w:color w:val="333333"/>
          <w:sz w:val="17"/>
          <w:szCs w:val="17"/>
        </w:rPr>
        <w:t xml:space="preserve">" </w:t>
      </w:r>
      <w:r>
        <w:rPr>
          <w:rFonts w:ascii="Tahoma" w:hAnsi="Tahoma" w:cs="Tahoma"/>
          <w:color w:val="333333"/>
          <w:sz w:val="17"/>
          <w:szCs w:val="17"/>
          <w:rtl/>
        </w:rPr>
        <w:t>الّذين يوظّفون الحيل الفقهية من أجل التحرّر والانعتاق</w:t>
      </w:r>
      <w:r>
        <w:rPr>
          <w:rFonts w:ascii="Tahoma" w:hAnsi="Tahoma" w:cs="Tahoma"/>
          <w:color w:val="333333"/>
          <w:sz w:val="17"/>
          <w:szCs w:val="17"/>
        </w:rPr>
        <w:t>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rtl/>
        </w:rPr>
        <w:t>ورغم نجاحها بقيت هذه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المقاومة مهمشة اجتماعيا من طرف السلطة، ومعرفيّا من طرف العلماء لأن المعرفة هي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أيضا نوع من السلطة، إلى أن تبلورت وضعية المرأة مع مدونة الأحوال الشخصية في سنة</w:t>
      </w:r>
      <w:r>
        <w:rPr>
          <w:rFonts w:ascii="Tahoma" w:hAnsi="Tahoma" w:cs="Tahoma"/>
          <w:color w:val="333333"/>
          <w:sz w:val="17"/>
          <w:szCs w:val="17"/>
        </w:rPr>
        <w:t xml:space="preserve"> 1957 </w:t>
      </w:r>
      <w:r>
        <w:rPr>
          <w:rFonts w:ascii="Tahoma" w:hAnsi="Tahoma" w:cs="Tahoma"/>
          <w:color w:val="333333"/>
          <w:sz w:val="17"/>
          <w:szCs w:val="17"/>
          <w:rtl/>
        </w:rPr>
        <w:t>التي منعت تعدّد الزوجات وفرضت الطلاق بالتقاضي وحدّدت سنّ أدنى لزواج المرأة</w:t>
      </w:r>
      <w:r>
        <w:rPr>
          <w:rFonts w:ascii="Tahoma" w:hAnsi="Tahoma" w:cs="Tahoma"/>
          <w:color w:val="333333"/>
          <w:sz w:val="17"/>
          <w:szCs w:val="17"/>
        </w:rPr>
        <w:t xml:space="preserve">. </w:t>
      </w:r>
      <w:r>
        <w:rPr>
          <w:rFonts w:ascii="Tahoma" w:hAnsi="Tahoma" w:cs="Tahoma"/>
          <w:color w:val="333333"/>
          <w:sz w:val="17"/>
          <w:szCs w:val="17"/>
          <w:rtl/>
        </w:rPr>
        <w:t>وتعمّقت هذه الإجراءات مع إصلاح 1992 الاحترام المتبادل الّذي</w:t>
      </w:r>
      <w:r>
        <w:rPr>
          <w:rFonts w:ascii="Tahoma" w:hAnsi="Tahoma" w:cs="Tahoma"/>
          <w:color w:val="333333"/>
          <w:sz w:val="17"/>
          <w:szCs w:val="17"/>
        </w:rPr>
        <w:t>:</w:t>
      </w:r>
      <w:r>
        <w:rPr>
          <w:rFonts w:ascii="Tahoma" w:hAnsi="Tahoma" w:cs="Tahoma"/>
          <w:color w:val="333333"/>
          <w:sz w:val="17"/>
          <w:szCs w:val="17"/>
        </w:rPr>
        <w:br/>
        <w:t xml:space="preserve">- </w:t>
      </w:r>
      <w:r>
        <w:rPr>
          <w:rFonts w:ascii="Tahoma" w:hAnsi="Tahoma" w:cs="Tahoma"/>
          <w:color w:val="333333"/>
          <w:sz w:val="17"/>
          <w:szCs w:val="17"/>
          <w:rtl/>
        </w:rPr>
        <w:t>عوّض مبدأ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الطاعة للزوج بمبدأ الاحترام المتبادل</w:t>
      </w:r>
      <w:r>
        <w:rPr>
          <w:rFonts w:ascii="Tahoma" w:hAnsi="Tahoma" w:cs="Tahoma"/>
          <w:color w:val="333333"/>
          <w:sz w:val="17"/>
          <w:szCs w:val="17"/>
        </w:rPr>
        <w:br/>
        <w:t xml:space="preserve">- </w:t>
      </w:r>
      <w:r>
        <w:rPr>
          <w:rFonts w:ascii="Tahoma" w:hAnsi="Tahoma" w:cs="Tahoma"/>
          <w:color w:val="333333"/>
          <w:sz w:val="17"/>
          <w:szCs w:val="17"/>
          <w:rtl/>
        </w:rPr>
        <w:t>أعطى الولاية للأم في حال غياب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الأب</w:t>
      </w:r>
      <w:r>
        <w:rPr>
          <w:rFonts w:ascii="Tahoma" w:hAnsi="Tahoma" w:cs="Tahoma"/>
          <w:color w:val="333333"/>
          <w:sz w:val="17"/>
          <w:szCs w:val="17"/>
        </w:rPr>
        <w:br/>
        <w:t xml:space="preserve">- </w:t>
      </w:r>
      <w:r>
        <w:rPr>
          <w:rFonts w:ascii="Tahoma" w:hAnsi="Tahoma" w:cs="Tahoma"/>
          <w:color w:val="333333"/>
          <w:sz w:val="17"/>
          <w:szCs w:val="17"/>
          <w:rtl/>
        </w:rPr>
        <w:t>أعطى الأم حقّ إعطاء جنسيتها لابنها</w:t>
      </w:r>
      <w:r>
        <w:rPr>
          <w:rFonts w:ascii="Tahoma" w:hAnsi="Tahoma" w:cs="Tahoma"/>
          <w:color w:val="333333"/>
          <w:sz w:val="17"/>
          <w:szCs w:val="17"/>
        </w:rPr>
        <w:br/>
        <w:t xml:space="preserve">- </w:t>
      </w:r>
      <w:r>
        <w:rPr>
          <w:rFonts w:ascii="Tahoma" w:hAnsi="Tahoma" w:cs="Tahoma"/>
          <w:color w:val="333333"/>
          <w:sz w:val="17"/>
          <w:szCs w:val="17"/>
          <w:rtl/>
        </w:rPr>
        <w:t>مكّن الأم العازبة من بعض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الحقوق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  <w:t xml:space="preserve">(1) </w:t>
      </w:r>
      <w:r>
        <w:rPr>
          <w:rFonts w:ascii="Tahoma" w:hAnsi="Tahoma" w:cs="Tahoma"/>
          <w:color w:val="333333"/>
          <w:sz w:val="17"/>
          <w:szCs w:val="17"/>
          <w:rtl/>
        </w:rPr>
        <w:t>مراد الرّماح "الصداق القيرواني" في كتاب المرأة التونسية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عبر العصور 1997- تونس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  <w:t xml:space="preserve">(2) </w:t>
      </w:r>
      <w:r>
        <w:rPr>
          <w:rFonts w:ascii="Tahoma" w:hAnsi="Tahoma" w:cs="Tahoma"/>
          <w:color w:val="333333"/>
          <w:sz w:val="17"/>
          <w:szCs w:val="17"/>
          <w:rtl/>
        </w:rPr>
        <w:t>محمد الغضبان : حق المرأة في طلب الطلاق بتونس في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القرن الخامس هجري في الكرّاس الفكري لجريدة الحرّية مايو</w:t>
      </w:r>
      <w:r>
        <w:rPr>
          <w:rFonts w:ascii="Tahoma" w:hAnsi="Tahoma" w:cs="Tahoma"/>
          <w:color w:val="333333"/>
          <w:sz w:val="17"/>
          <w:szCs w:val="17"/>
        </w:rPr>
        <w:t xml:space="preserve"> 2004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  <w:t xml:space="preserve">(1) </w:t>
      </w:r>
      <w:r>
        <w:rPr>
          <w:rFonts w:ascii="Tahoma" w:hAnsi="Tahoma" w:cs="Tahoma"/>
          <w:color w:val="333333"/>
          <w:sz w:val="17"/>
          <w:szCs w:val="17"/>
          <w:rtl/>
        </w:rPr>
        <w:t>مراد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الرّماح "الصداق القيرواني" في كتاب المرأة التونسية عبر العصور 1997</w:t>
      </w:r>
      <w:r>
        <w:rPr>
          <w:rFonts w:ascii="Tahoma" w:hAnsi="Tahoma" w:cs="Tahoma"/>
          <w:color w:val="333333"/>
          <w:sz w:val="17"/>
          <w:szCs w:val="17"/>
        </w:rPr>
        <w:t xml:space="preserve">- </w:t>
      </w:r>
      <w:r>
        <w:rPr>
          <w:rFonts w:ascii="Tahoma" w:hAnsi="Tahoma" w:cs="Tahoma"/>
          <w:color w:val="333333"/>
          <w:sz w:val="17"/>
          <w:szCs w:val="17"/>
          <w:rtl/>
        </w:rPr>
        <w:t>تونس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  <w:t xml:space="preserve">(2) </w:t>
      </w:r>
      <w:r>
        <w:rPr>
          <w:rFonts w:ascii="Tahoma" w:hAnsi="Tahoma" w:cs="Tahoma"/>
          <w:color w:val="333333"/>
          <w:sz w:val="17"/>
          <w:szCs w:val="17"/>
          <w:rtl/>
        </w:rPr>
        <w:t>محمد الغضبان : حق المرأة في طلب الطلاق بتونس في القرن الخامس</w:t>
      </w:r>
      <w:r>
        <w:rPr>
          <w:rFonts w:ascii="Tahoma" w:hAnsi="Tahoma" w:cs="Tahoma"/>
          <w:color w:val="333333"/>
          <w:sz w:val="17"/>
          <w:szCs w:val="17"/>
        </w:rPr>
        <w:t xml:space="preserve"> </w:t>
      </w:r>
      <w:r>
        <w:rPr>
          <w:rFonts w:ascii="Tahoma" w:hAnsi="Tahoma" w:cs="Tahoma"/>
          <w:color w:val="333333"/>
          <w:sz w:val="17"/>
          <w:szCs w:val="17"/>
          <w:rtl/>
        </w:rPr>
        <w:t>هجري في الكرّاس الفكري لجريدة الحرّية ماي 2004</w:t>
      </w:r>
      <w:bookmarkStart w:id="0" w:name="_GoBack"/>
      <w:bookmarkEnd w:id="0"/>
    </w:p>
    <w:sectPr w:rsidR="003F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0E"/>
    <w:rsid w:val="00181E0E"/>
    <w:rsid w:val="00331C29"/>
    <w:rsid w:val="003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2</cp:revision>
  <dcterms:created xsi:type="dcterms:W3CDTF">2011-04-17T09:02:00Z</dcterms:created>
  <dcterms:modified xsi:type="dcterms:W3CDTF">2011-04-17T09:03:00Z</dcterms:modified>
</cp:coreProperties>
</file>