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8D6" w:rsidRPr="005B58D6" w:rsidRDefault="005B58D6" w:rsidP="005B58D6">
      <w:pPr>
        <w:bidi/>
        <w:spacing w:after="0" w:line="360" w:lineRule="auto"/>
        <w:ind w:left="510" w:right="510"/>
        <w:jc w:val="center"/>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ظروف الاستيعاب للمنطق - عبد الله </w:t>
      </w:r>
      <w:proofErr w:type="spellStart"/>
      <w:r w:rsidRPr="005B58D6">
        <w:rPr>
          <w:rFonts w:asciiTheme="majorBidi" w:eastAsia="Times New Roman" w:hAnsiTheme="majorBidi" w:cstheme="majorBidi"/>
          <w:b/>
          <w:bCs/>
          <w:sz w:val="28"/>
          <w:szCs w:val="28"/>
          <w:rtl/>
          <w:lang w:eastAsia="fr-FR"/>
        </w:rPr>
        <w:t>العروي</w:t>
      </w:r>
      <w:proofErr w:type="spellEnd"/>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عندما يقدم الدارس على الحكم والتقييم، في حالة استغلال دراسات جزئية، لا بد من الالتفات إلى ما يقوله أخصائيون آخرون عن ماهية ودور المنطق الأرسطي في ثقافتهم الأصلية والثقافات المتفرعة عنها.</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هذا الاحتراز المنهجي يدعونا إلى افتراض أن تأويل المسلمين لمنطق أرسطو لا يمكن أن يكون إلا تأويلاً إسلامياً أو إقليمياً أو قطاعياً، كالتأويل البيزنطي، والتأويل الإفرنجي المسيحي، وتأويل عهد النهضة إلخ.. فهو مجدود محصور بالضرورة، ولا يمكن أن نأخذ عرضاً من عروضه ونقدمه اليوم كأنه الغاية. لنتذكر أنه في الوقت الذي كان الطلاب الشرقيون يتعلمون المنطق في كتاب قطب الدين الرازي كان الإنجليز يعتمدون على كتاب </w:t>
      </w:r>
      <w:proofErr w:type="spellStart"/>
      <w:r w:rsidRPr="005B58D6">
        <w:rPr>
          <w:rFonts w:asciiTheme="majorBidi" w:eastAsia="Times New Roman" w:hAnsiTheme="majorBidi" w:cstheme="majorBidi"/>
          <w:b/>
          <w:bCs/>
          <w:sz w:val="28"/>
          <w:szCs w:val="28"/>
          <w:rtl/>
          <w:lang w:eastAsia="fr-FR"/>
        </w:rPr>
        <w:t>بوزانكه</w:t>
      </w:r>
      <w:proofErr w:type="spellEnd"/>
      <w:r w:rsidRPr="005B58D6">
        <w:rPr>
          <w:rFonts w:asciiTheme="majorBidi" w:eastAsia="Times New Roman" w:hAnsiTheme="majorBidi" w:cstheme="majorBidi"/>
          <w:b/>
          <w:bCs/>
          <w:sz w:val="28"/>
          <w:szCs w:val="28"/>
          <w:rtl/>
          <w:lang w:eastAsia="fr-FR"/>
        </w:rPr>
        <w:t xml:space="preserve">، ومع أن الكتابين هما شرحان لمنطق أرسطو، فالبعد بينهما بعد السماء عن الأرض. لنتذكر كذلك ما يجري اليوم في معاهد التدريس </w:t>
      </w:r>
      <w:proofErr w:type="gramStart"/>
      <w:r w:rsidRPr="005B58D6">
        <w:rPr>
          <w:rFonts w:asciiTheme="majorBidi" w:eastAsia="Times New Roman" w:hAnsiTheme="majorBidi" w:cstheme="majorBidi"/>
          <w:b/>
          <w:bCs/>
          <w:sz w:val="28"/>
          <w:szCs w:val="28"/>
          <w:rtl/>
          <w:lang w:eastAsia="fr-FR"/>
        </w:rPr>
        <w:t>الغربية</w:t>
      </w:r>
      <w:proofErr w:type="gramEnd"/>
      <w:r w:rsidRPr="005B58D6">
        <w:rPr>
          <w:rFonts w:asciiTheme="majorBidi" w:eastAsia="Times New Roman" w:hAnsiTheme="majorBidi" w:cstheme="majorBidi"/>
          <w:b/>
          <w:bCs/>
          <w:sz w:val="28"/>
          <w:szCs w:val="28"/>
          <w:rtl/>
          <w:lang w:eastAsia="fr-FR"/>
        </w:rPr>
        <w:t>. لا أحد يستطيع أن يدعي أن تلقين المنطق الأرسطي اعتماداً على أمثلة نحوية أو لغوية يساوي التلقين اعتماداً على شواهد مأخوذة من الرياضيات العالية.</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عندما نتكلم عادة على النص الأرسطي، المضمن في الكتب الثمانية، نتكلم على نص تقرير عاطل مجرد من كل سوابقه ولواحقه، في حين أن النص المفهوم لا بد أن يكون أعمق وأشمل من ذلك. توجد خلف النص الثقافة اليونانية بأصولها المختلفة وهذه </w:t>
      </w:r>
      <w:proofErr w:type="gramStart"/>
      <w:r w:rsidRPr="005B58D6">
        <w:rPr>
          <w:rFonts w:asciiTheme="majorBidi" w:eastAsia="Times New Roman" w:hAnsiTheme="majorBidi" w:cstheme="majorBidi"/>
          <w:b/>
          <w:bCs/>
          <w:sz w:val="28"/>
          <w:szCs w:val="28"/>
          <w:rtl/>
          <w:lang w:eastAsia="fr-FR"/>
        </w:rPr>
        <w:t>إما</w:t>
      </w:r>
      <w:proofErr w:type="gramEnd"/>
      <w:r w:rsidRPr="005B58D6">
        <w:rPr>
          <w:rFonts w:asciiTheme="majorBidi" w:eastAsia="Times New Roman" w:hAnsiTheme="majorBidi" w:cstheme="majorBidi"/>
          <w:b/>
          <w:bCs/>
          <w:sz w:val="28"/>
          <w:szCs w:val="28"/>
          <w:rtl/>
          <w:lang w:eastAsia="fr-FR"/>
        </w:rPr>
        <w:t xml:space="preserve"> معلومة مسبقاً وإما مجهولة، على درجات متفاوتة بالطبع. وتوجد فوق النص المعارف المتراكمة في العلوم القطاعية من لغويات واجتماعيات وطبيعيات </w:t>
      </w:r>
      <w:proofErr w:type="gramStart"/>
      <w:r w:rsidRPr="005B58D6">
        <w:rPr>
          <w:rFonts w:asciiTheme="majorBidi" w:eastAsia="Times New Roman" w:hAnsiTheme="majorBidi" w:cstheme="majorBidi"/>
          <w:b/>
          <w:bCs/>
          <w:sz w:val="28"/>
          <w:szCs w:val="28"/>
          <w:rtl/>
          <w:lang w:eastAsia="fr-FR"/>
        </w:rPr>
        <w:t>ورياضيات</w:t>
      </w:r>
      <w:proofErr w:type="gramEnd"/>
      <w:r w:rsidRPr="005B58D6">
        <w:rPr>
          <w:rFonts w:asciiTheme="majorBidi" w:eastAsia="Times New Roman" w:hAnsiTheme="majorBidi" w:cstheme="majorBidi"/>
          <w:b/>
          <w:bCs/>
          <w:sz w:val="28"/>
          <w:szCs w:val="28"/>
          <w:rtl/>
          <w:lang w:eastAsia="fr-FR"/>
        </w:rPr>
        <w:t xml:space="preserve">. </w:t>
      </w:r>
      <w:proofErr w:type="gramStart"/>
      <w:r w:rsidRPr="005B58D6">
        <w:rPr>
          <w:rFonts w:asciiTheme="majorBidi" w:eastAsia="Times New Roman" w:hAnsiTheme="majorBidi" w:cstheme="majorBidi"/>
          <w:b/>
          <w:bCs/>
          <w:sz w:val="28"/>
          <w:szCs w:val="28"/>
          <w:rtl/>
          <w:lang w:eastAsia="fr-FR"/>
        </w:rPr>
        <w:t>النص</w:t>
      </w:r>
      <w:proofErr w:type="gramEnd"/>
      <w:r w:rsidRPr="005B58D6">
        <w:rPr>
          <w:rFonts w:asciiTheme="majorBidi" w:eastAsia="Times New Roman" w:hAnsiTheme="majorBidi" w:cstheme="majorBidi"/>
          <w:b/>
          <w:bCs/>
          <w:sz w:val="28"/>
          <w:szCs w:val="28"/>
          <w:rtl/>
          <w:lang w:eastAsia="fr-FR"/>
        </w:rPr>
        <w:t xml:space="preserve">، في حد ذاته، كالجهاز العظمي، لا تدب فيه الحياة، لا يحيى في ذهن المتقبل ويعود منتجاً، إلا إذا كسي بلحم وانتعش بدم تمدهما به العلوم القطاعية في صورتها الحالية. لذا نطرح سؤالاً يتحاشاه المتخصصون عندنا: إلى أي حدّ استوعب المسلمون المنطق الأرسطي؟ </w:t>
      </w:r>
      <w:proofErr w:type="gramStart"/>
      <w:r w:rsidRPr="005B58D6">
        <w:rPr>
          <w:rFonts w:asciiTheme="majorBidi" w:eastAsia="Times New Roman" w:hAnsiTheme="majorBidi" w:cstheme="majorBidi"/>
          <w:b/>
          <w:bCs/>
          <w:sz w:val="28"/>
          <w:szCs w:val="28"/>
          <w:rtl/>
          <w:lang w:eastAsia="fr-FR"/>
        </w:rPr>
        <w:t>وليس</w:t>
      </w:r>
      <w:proofErr w:type="gramEnd"/>
      <w:r w:rsidRPr="005B58D6">
        <w:rPr>
          <w:rFonts w:asciiTheme="majorBidi" w:eastAsia="Times New Roman" w:hAnsiTheme="majorBidi" w:cstheme="majorBidi"/>
          <w:b/>
          <w:bCs/>
          <w:sz w:val="28"/>
          <w:szCs w:val="28"/>
          <w:rtl/>
          <w:lang w:eastAsia="fr-FR"/>
        </w:rPr>
        <w:t xml:space="preserve"> من الضروري، للإجابة على هذا السؤال، أن نطالع كل المؤلفات المنطقية القديمة. </w:t>
      </w:r>
      <w:proofErr w:type="gramStart"/>
      <w:r w:rsidRPr="005B58D6">
        <w:rPr>
          <w:rFonts w:asciiTheme="majorBidi" w:eastAsia="Times New Roman" w:hAnsiTheme="majorBidi" w:cstheme="majorBidi"/>
          <w:b/>
          <w:bCs/>
          <w:sz w:val="28"/>
          <w:szCs w:val="28"/>
          <w:rtl/>
          <w:lang w:eastAsia="fr-FR"/>
        </w:rPr>
        <w:t>نلاحظ</w:t>
      </w:r>
      <w:proofErr w:type="gramEnd"/>
      <w:r w:rsidRPr="005B58D6">
        <w:rPr>
          <w:rFonts w:asciiTheme="majorBidi" w:eastAsia="Times New Roman" w:hAnsiTheme="majorBidi" w:cstheme="majorBidi"/>
          <w:b/>
          <w:bCs/>
          <w:sz w:val="28"/>
          <w:szCs w:val="28"/>
          <w:rtl/>
          <w:lang w:eastAsia="fr-FR"/>
        </w:rPr>
        <w:t xml:space="preserve"> بالفعل أن النصوص التي تنشر الآن لا ترقى في معظمها حتى إلى مستوى مذكرات طلاب. </w:t>
      </w:r>
      <w:proofErr w:type="gramStart"/>
      <w:r w:rsidRPr="005B58D6">
        <w:rPr>
          <w:rFonts w:asciiTheme="majorBidi" w:eastAsia="Times New Roman" w:hAnsiTheme="majorBidi" w:cstheme="majorBidi"/>
          <w:b/>
          <w:bCs/>
          <w:sz w:val="28"/>
          <w:szCs w:val="28"/>
          <w:rtl/>
          <w:lang w:eastAsia="fr-FR"/>
        </w:rPr>
        <w:t>مما</w:t>
      </w:r>
      <w:proofErr w:type="gramEnd"/>
      <w:r w:rsidRPr="005B58D6">
        <w:rPr>
          <w:rFonts w:asciiTheme="majorBidi" w:eastAsia="Times New Roman" w:hAnsiTheme="majorBidi" w:cstheme="majorBidi"/>
          <w:b/>
          <w:bCs/>
          <w:sz w:val="28"/>
          <w:szCs w:val="28"/>
          <w:rtl/>
          <w:lang w:eastAsia="fr-FR"/>
        </w:rPr>
        <w:t xml:space="preserve"> يعني </w:t>
      </w:r>
      <w:r w:rsidRPr="005B58D6">
        <w:rPr>
          <w:rFonts w:asciiTheme="majorBidi" w:eastAsia="Times New Roman" w:hAnsiTheme="majorBidi" w:cstheme="majorBidi"/>
          <w:b/>
          <w:bCs/>
          <w:sz w:val="28"/>
          <w:szCs w:val="28"/>
          <w:rtl/>
          <w:lang w:eastAsia="fr-FR"/>
        </w:rPr>
        <w:lastRenderedPageBreak/>
        <w:t xml:space="preserve">أن الكتب المهمة قد حققت وطبعت منذ زمن. إذا قرر </w:t>
      </w:r>
      <w:proofErr w:type="spellStart"/>
      <w:r w:rsidRPr="005B58D6">
        <w:rPr>
          <w:rFonts w:asciiTheme="majorBidi" w:eastAsia="Times New Roman" w:hAnsiTheme="majorBidi" w:cstheme="majorBidi"/>
          <w:b/>
          <w:bCs/>
          <w:sz w:val="28"/>
          <w:szCs w:val="28"/>
          <w:rtl/>
          <w:lang w:eastAsia="fr-FR"/>
        </w:rPr>
        <w:t>امرؤ</w:t>
      </w:r>
      <w:proofErr w:type="spellEnd"/>
      <w:r w:rsidRPr="005B58D6">
        <w:rPr>
          <w:rFonts w:asciiTheme="majorBidi" w:eastAsia="Times New Roman" w:hAnsiTheme="majorBidi" w:cstheme="majorBidi"/>
          <w:b/>
          <w:bCs/>
          <w:sz w:val="28"/>
          <w:szCs w:val="28"/>
          <w:rtl/>
          <w:lang w:eastAsia="fr-FR"/>
        </w:rPr>
        <w:t xml:space="preserve"> أن يكتفي في هذا الباب بما ألّفه كل من الفارابي المتوفى سنة (339ه‍) وابن سينا (428) وابن حزم (465) والقزويني (493) والغزالي (505) وابن رشد (595) والفخر الرازي (666) والطوسي (672) وكلها شروح وتعاليق، لا أظن أحداً سيدعي أن هذا القدر غير كافٍ لإبداء رأي في القضية التي هي أعم من تلك التي يشتغل بها الدارسون المتخصصون.</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proofErr w:type="gramStart"/>
      <w:r w:rsidRPr="005B58D6">
        <w:rPr>
          <w:rFonts w:asciiTheme="majorBidi" w:eastAsia="Times New Roman" w:hAnsiTheme="majorBidi" w:cstheme="majorBidi"/>
          <w:b/>
          <w:bCs/>
          <w:sz w:val="28"/>
          <w:szCs w:val="28"/>
          <w:rtl/>
          <w:lang w:eastAsia="fr-FR"/>
        </w:rPr>
        <w:t>بعد</w:t>
      </w:r>
      <w:proofErr w:type="gramEnd"/>
      <w:r w:rsidRPr="005B58D6">
        <w:rPr>
          <w:rFonts w:asciiTheme="majorBidi" w:eastAsia="Times New Roman" w:hAnsiTheme="majorBidi" w:cstheme="majorBidi"/>
          <w:b/>
          <w:bCs/>
          <w:sz w:val="28"/>
          <w:szCs w:val="28"/>
          <w:rtl/>
          <w:lang w:eastAsia="fr-FR"/>
        </w:rPr>
        <w:t xml:space="preserve"> مقارنة المؤلفات المذكورة لا بد من الاعتراف أن نوعاً من الاستيعاب قد تمّ فعلاً. يدلّ عليه التقدم الواضح في التعبير. إن ابن حزم والغزالي استطاعا أن يعبرا ببساطة عن دقائق كان الفارابي وابن سينا يحومان حولها بدون طائل. ويدل على الاستيعاب كذلك التحرر النسبي من القوالب الموروثة عن </w:t>
      </w:r>
      <w:proofErr w:type="spellStart"/>
      <w:r w:rsidRPr="005B58D6">
        <w:rPr>
          <w:rFonts w:asciiTheme="majorBidi" w:eastAsia="Times New Roman" w:hAnsiTheme="majorBidi" w:cstheme="majorBidi"/>
          <w:b/>
          <w:bCs/>
          <w:sz w:val="28"/>
          <w:szCs w:val="28"/>
          <w:rtl/>
          <w:lang w:eastAsia="fr-FR"/>
        </w:rPr>
        <w:t>التراجمة</w:t>
      </w:r>
      <w:proofErr w:type="spellEnd"/>
      <w:r w:rsidRPr="005B58D6">
        <w:rPr>
          <w:rFonts w:asciiTheme="majorBidi" w:eastAsia="Times New Roman" w:hAnsiTheme="majorBidi" w:cstheme="majorBidi"/>
          <w:b/>
          <w:bCs/>
          <w:sz w:val="28"/>
          <w:szCs w:val="28"/>
          <w:rtl/>
          <w:lang w:eastAsia="fr-FR"/>
        </w:rPr>
        <w:t xml:space="preserve"> الأول. لكن هذه مسألة تقنية، كتب فيها أصحاب الاختصاص ولا يزالون. علينا أن نعود إلى النقطة التي تهمنا بالدرجة الأولى لنتساءل: كيف تمّ التعامل مع النص الأرسطي، هل أخذ على أنه مقصور على منطوقه مفصول عن مادته الثقافية الأصلية أم لا؟ إذا كانت الأولى، ماذا يمكن أن ينتج </w:t>
      </w:r>
      <w:proofErr w:type="gramStart"/>
      <w:r w:rsidRPr="005B58D6">
        <w:rPr>
          <w:rFonts w:asciiTheme="majorBidi" w:eastAsia="Times New Roman" w:hAnsiTheme="majorBidi" w:cstheme="majorBidi"/>
          <w:b/>
          <w:bCs/>
          <w:sz w:val="28"/>
          <w:szCs w:val="28"/>
          <w:rtl/>
          <w:lang w:eastAsia="fr-FR"/>
        </w:rPr>
        <w:t>نص</w:t>
      </w:r>
      <w:proofErr w:type="gramEnd"/>
      <w:r w:rsidRPr="005B58D6">
        <w:rPr>
          <w:rFonts w:asciiTheme="majorBidi" w:eastAsia="Times New Roman" w:hAnsiTheme="majorBidi" w:cstheme="majorBidi"/>
          <w:b/>
          <w:bCs/>
          <w:sz w:val="28"/>
          <w:szCs w:val="28"/>
          <w:rtl/>
          <w:lang w:eastAsia="fr-FR"/>
        </w:rPr>
        <w:t xml:space="preserve"> مسطح كهذا؟ </w:t>
      </w:r>
      <w:proofErr w:type="gramStart"/>
      <w:r w:rsidRPr="005B58D6">
        <w:rPr>
          <w:rFonts w:asciiTheme="majorBidi" w:eastAsia="Times New Roman" w:hAnsiTheme="majorBidi" w:cstheme="majorBidi"/>
          <w:b/>
          <w:bCs/>
          <w:sz w:val="28"/>
          <w:szCs w:val="28"/>
          <w:rtl/>
          <w:lang w:eastAsia="fr-FR"/>
        </w:rPr>
        <w:t>وإذا</w:t>
      </w:r>
      <w:proofErr w:type="gramEnd"/>
      <w:r w:rsidRPr="005B58D6">
        <w:rPr>
          <w:rFonts w:asciiTheme="majorBidi" w:eastAsia="Times New Roman" w:hAnsiTheme="majorBidi" w:cstheme="majorBidi"/>
          <w:b/>
          <w:bCs/>
          <w:sz w:val="28"/>
          <w:szCs w:val="28"/>
          <w:rtl/>
          <w:lang w:eastAsia="fr-FR"/>
        </w:rPr>
        <w:t xml:space="preserve"> كانت الثانية، من وعي بذلك وماذا فعل لربط ذلك المنطق بجذوره الثقافية؟</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إذا قلنا مع الدارسين الغربيين المعاصرين إن مادة المنطق الأرسطي هي اللغة اليونانية، فالبلاغة الشعرية، فالبيان السياسي، فالجدال </w:t>
      </w:r>
      <w:proofErr w:type="spellStart"/>
      <w:r w:rsidRPr="005B58D6">
        <w:rPr>
          <w:rFonts w:asciiTheme="majorBidi" w:eastAsia="Times New Roman" w:hAnsiTheme="majorBidi" w:cstheme="majorBidi"/>
          <w:b/>
          <w:bCs/>
          <w:sz w:val="28"/>
          <w:szCs w:val="28"/>
          <w:rtl/>
          <w:lang w:eastAsia="fr-FR"/>
        </w:rPr>
        <w:t>السوفسطائي</w:t>
      </w:r>
      <w:proofErr w:type="spellEnd"/>
      <w:r w:rsidRPr="005B58D6">
        <w:rPr>
          <w:rFonts w:asciiTheme="majorBidi" w:eastAsia="Times New Roman" w:hAnsiTheme="majorBidi" w:cstheme="majorBidi"/>
          <w:b/>
          <w:bCs/>
          <w:sz w:val="28"/>
          <w:szCs w:val="28"/>
          <w:rtl/>
          <w:lang w:eastAsia="fr-FR"/>
        </w:rPr>
        <w:t xml:space="preserve">، فالبرهان الرياضي، فالاستقراء الطبي والطبيعي، ماذا كان معروفاً من كل هذا وبصفة مستقلة عن النص الأرسطي نفسه لدى المسلمين؟ لا ينكر أحد أن قسطاً منه كان معروفاً، وهو ما نجده مبسوطاً عن ابن النديم وصاعد </w:t>
      </w:r>
      <w:proofErr w:type="spellStart"/>
      <w:r w:rsidRPr="005B58D6">
        <w:rPr>
          <w:rFonts w:asciiTheme="majorBidi" w:eastAsia="Times New Roman" w:hAnsiTheme="majorBidi" w:cstheme="majorBidi"/>
          <w:b/>
          <w:bCs/>
          <w:sz w:val="28"/>
          <w:szCs w:val="28"/>
          <w:rtl/>
          <w:lang w:eastAsia="fr-FR"/>
        </w:rPr>
        <w:t>والشهرستاني</w:t>
      </w:r>
      <w:proofErr w:type="spellEnd"/>
      <w:r w:rsidRPr="005B58D6">
        <w:rPr>
          <w:rFonts w:asciiTheme="majorBidi" w:eastAsia="Times New Roman" w:hAnsiTheme="majorBidi" w:cstheme="majorBidi"/>
          <w:b/>
          <w:bCs/>
          <w:sz w:val="28"/>
          <w:szCs w:val="28"/>
          <w:rtl/>
          <w:lang w:eastAsia="fr-FR"/>
        </w:rPr>
        <w:t xml:space="preserve"> وغيرهم، وما تشير إليه بعض ملاحظات ابن سينا وابن حزم عن الفوارق التعبيرية في اليونانية واللاتينية والعربية. أننا لا ننفي وجود علم موروث عن الثقافة اليونانية بقي مبثوثاً في المناطق الواسعة التي توحّدت ثقافياً اثر تأسيس </w:t>
      </w:r>
      <w:proofErr w:type="spellStart"/>
      <w:r w:rsidRPr="005B58D6">
        <w:rPr>
          <w:rFonts w:asciiTheme="majorBidi" w:eastAsia="Times New Roman" w:hAnsiTheme="majorBidi" w:cstheme="majorBidi"/>
          <w:b/>
          <w:bCs/>
          <w:sz w:val="28"/>
          <w:szCs w:val="28"/>
          <w:rtl/>
          <w:lang w:eastAsia="fr-FR"/>
        </w:rPr>
        <w:t>امبراطورية</w:t>
      </w:r>
      <w:proofErr w:type="spellEnd"/>
      <w:r w:rsidRPr="005B58D6">
        <w:rPr>
          <w:rFonts w:asciiTheme="majorBidi" w:eastAsia="Times New Roman" w:hAnsiTheme="majorBidi" w:cstheme="majorBidi"/>
          <w:b/>
          <w:bCs/>
          <w:sz w:val="28"/>
          <w:szCs w:val="28"/>
          <w:rtl/>
          <w:lang w:eastAsia="fr-FR"/>
        </w:rPr>
        <w:t xml:space="preserve"> </w:t>
      </w:r>
      <w:proofErr w:type="spellStart"/>
      <w:r w:rsidRPr="005B58D6">
        <w:rPr>
          <w:rFonts w:asciiTheme="majorBidi" w:eastAsia="Times New Roman" w:hAnsiTheme="majorBidi" w:cstheme="majorBidi"/>
          <w:b/>
          <w:bCs/>
          <w:sz w:val="28"/>
          <w:szCs w:val="28"/>
          <w:rtl/>
          <w:lang w:eastAsia="fr-FR"/>
        </w:rPr>
        <w:t>اسكندر</w:t>
      </w:r>
      <w:proofErr w:type="spellEnd"/>
      <w:r w:rsidRPr="005B58D6">
        <w:rPr>
          <w:rFonts w:asciiTheme="majorBidi" w:eastAsia="Times New Roman" w:hAnsiTheme="majorBidi" w:cstheme="majorBidi"/>
          <w:b/>
          <w:bCs/>
          <w:sz w:val="28"/>
          <w:szCs w:val="28"/>
          <w:rtl/>
          <w:lang w:eastAsia="fr-FR"/>
        </w:rPr>
        <w:t xml:space="preserve"> المقدوني. إلا أننا نود أن نعرف </w:t>
      </w:r>
      <w:proofErr w:type="gramStart"/>
      <w:r w:rsidRPr="005B58D6">
        <w:rPr>
          <w:rFonts w:asciiTheme="majorBidi" w:eastAsia="Times New Roman" w:hAnsiTheme="majorBidi" w:cstheme="majorBidi"/>
          <w:b/>
          <w:bCs/>
          <w:sz w:val="28"/>
          <w:szCs w:val="28"/>
          <w:rtl/>
          <w:lang w:eastAsia="fr-FR"/>
        </w:rPr>
        <w:t>أكثر</w:t>
      </w:r>
      <w:proofErr w:type="gramEnd"/>
      <w:r w:rsidRPr="005B58D6">
        <w:rPr>
          <w:rFonts w:asciiTheme="majorBidi" w:eastAsia="Times New Roman" w:hAnsiTheme="majorBidi" w:cstheme="majorBidi"/>
          <w:b/>
          <w:bCs/>
          <w:sz w:val="28"/>
          <w:szCs w:val="28"/>
          <w:rtl/>
          <w:lang w:eastAsia="fr-FR"/>
        </w:rPr>
        <w:t xml:space="preserve"> مما يشار إليه عادة في سطور معدودات.</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تمّ استيعاب المنطق، هل تمّ التمييز بين فصوله </w:t>
      </w:r>
      <w:proofErr w:type="gramStart"/>
      <w:r w:rsidRPr="005B58D6">
        <w:rPr>
          <w:rFonts w:asciiTheme="majorBidi" w:eastAsia="Times New Roman" w:hAnsiTheme="majorBidi" w:cstheme="majorBidi"/>
          <w:b/>
          <w:bCs/>
          <w:sz w:val="28"/>
          <w:szCs w:val="28"/>
          <w:rtl/>
          <w:lang w:eastAsia="fr-FR"/>
        </w:rPr>
        <w:t>وأجزائه</w:t>
      </w:r>
      <w:proofErr w:type="gramEnd"/>
      <w:r w:rsidRPr="005B58D6">
        <w:rPr>
          <w:rFonts w:asciiTheme="majorBidi" w:eastAsia="Times New Roman" w:hAnsiTheme="majorBidi" w:cstheme="majorBidi"/>
          <w:b/>
          <w:bCs/>
          <w:sz w:val="28"/>
          <w:szCs w:val="28"/>
          <w:rtl/>
          <w:lang w:eastAsia="fr-FR"/>
        </w:rPr>
        <w:t xml:space="preserve">؟ لا نرى وجود نص أصلي مباشر، كما توجد نصوص تأسيسية مباشرة للعلوم الإسلامية المحضة كاللغة أو الفقه أو الحديث، </w:t>
      </w:r>
      <w:r w:rsidRPr="005B58D6">
        <w:rPr>
          <w:rFonts w:asciiTheme="majorBidi" w:eastAsia="Times New Roman" w:hAnsiTheme="majorBidi" w:cstheme="majorBidi"/>
          <w:b/>
          <w:bCs/>
          <w:sz w:val="28"/>
          <w:szCs w:val="28"/>
          <w:rtl/>
          <w:lang w:eastAsia="fr-FR"/>
        </w:rPr>
        <w:lastRenderedPageBreak/>
        <w:t xml:space="preserve">يعرب ويحقق في عملية مستمرة. لا نرى تقدماً في التعريب والتحقيق موازياً للتقدم في الفهم </w:t>
      </w:r>
      <w:proofErr w:type="gramStart"/>
      <w:r w:rsidRPr="005B58D6">
        <w:rPr>
          <w:rFonts w:asciiTheme="majorBidi" w:eastAsia="Times New Roman" w:hAnsiTheme="majorBidi" w:cstheme="majorBidi"/>
          <w:b/>
          <w:bCs/>
          <w:sz w:val="28"/>
          <w:szCs w:val="28"/>
          <w:rtl/>
          <w:lang w:eastAsia="fr-FR"/>
        </w:rPr>
        <w:t>والتأويل</w:t>
      </w:r>
      <w:proofErr w:type="gramEnd"/>
      <w:r w:rsidRPr="005B58D6">
        <w:rPr>
          <w:rFonts w:asciiTheme="majorBidi" w:eastAsia="Times New Roman" w:hAnsiTheme="majorBidi" w:cstheme="majorBidi"/>
          <w:b/>
          <w:bCs/>
          <w:sz w:val="28"/>
          <w:szCs w:val="28"/>
          <w:rtl/>
          <w:lang w:eastAsia="fr-FR"/>
        </w:rPr>
        <w:t xml:space="preserve">. </w:t>
      </w:r>
      <w:proofErr w:type="gramStart"/>
      <w:r w:rsidRPr="005B58D6">
        <w:rPr>
          <w:rFonts w:asciiTheme="majorBidi" w:eastAsia="Times New Roman" w:hAnsiTheme="majorBidi" w:cstheme="majorBidi"/>
          <w:b/>
          <w:bCs/>
          <w:sz w:val="28"/>
          <w:szCs w:val="28"/>
          <w:rtl/>
          <w:lang w:eastAsia="fr-FR"/>
        </w:rPr>
        <w:t>قد</w:t>
      </w:r>
      <w:proofErr w:type="gramEnd"/>
      <w:r w:rsidRPr="005B58D6">
        <w:rPr>
          <w:rFonts w:asciiTheme="majorBidi" w:eastAsia="Times New Roman" w:hAnsiTheme="majorBidi" w:cstheme="majorBidi"/>
          <w:b/>
          <w:bCs/>
          <w:sz w:val="28"/>
          <w:szCs w:val="28"/>
          <w:rtl/>
          <w:lang w:eastAsia="fr-FR"/>
        </w:rPr>
        <w:t xml:space="preserve"> تكون دعوة العودة إلى أرسطو الحقيقي، التي شهدتها الأندلس قبيل ابن رشد وأثناء حياته، عائدة إلى التعرف على نص غير النص الذي اعتمد في الشرق قبل ثلاثة قرون. </w:t>
      </w:r>
      <w:proofErr w:type="gramStart"/>
      <w:r w:rsidRPr="005B58D6">
        <w:rPr>
          <w:rFonts w:asciiTheme="majorBidi" w:eastAsia="Times New Roman" w:hAnsiTheme="majorBidi" w:cstheme="majorBidi"/>
          <w:b/>
          <w:bCs/>
          <w:sz w:val="28"/>
          <w:szCs w:val="28"/>
          <w:rtl/>
          <w:lang w:eastAsia="fr-FR"/>
        </w:rPr>
        <w:t>لكن</w:t>
      </w:r>
      <w:proofErr w:type="gramEnd"/>
      <w:r w:rsidRPr="005B58D6">
        <w:rPr>
          <w:rFonts w:asciiTheme="majorBidi" w:eastAsia="Times New Roman" w:hAnsiTheme="majorBidi" w:cstheme="majorBidi"/>
          <w:b/>
          <w:bCs/>
          <w:sz w:val="28"/>
          <w:szCs w:val="28"/>
          <w:rtl/>
          <w:lang w:eastAsia="fr-FR"/>
        </w:rPr>
        <w:t xml:space="preserve"> هذا النص الجديد لا نعرفه، هو أيضاً، معرفة مباشرة. </w:t>
      </w:r>
      <w:proofErr w:type="gramStart"/>
      <w:r w:rsidRPr="005B58D6">
        <w:rPr>
          <w:rFonts w:asciiTheme="majorBidi" w:eastAsia="Times New Roman" w:hAnsiTheme="majorBidi" w:cstheme="majorBidi"/>
          <w:b/>
          <w:bCs/>
          <w:sz w:val="28"/>
          <w:szCs w:val="28"/>
          <w:rtl/>
          <w:lang w:eastAsia="fr-FR"/>
        </w:rPr>
        <w:t>نحكم</w:t>
      </w:r>
      <w:proofErr w:type="gramEnd"/>
      <w:r w:rsidRPr="005B58D6">
        <w:rPr>
          <w:rFonts w:asciiTheme="majorBidi" w:eastAsia="Times New Roman" w:hAnsiTheme="majorBidi" w:cstheme="majorBidi"/>
          <w:b/>
          <w:bCs/>
          <w:sz w:val="28"/>
          <w:szCs w:val="28"/>
          <w:rtl/>
          <w:lang w:eastAsia="fr-FR"/>
        </w:rPr>
        <w:t xml:space="preserve"> بأنه أكمل وأوفى لأن شروح ابن رشد تكتسي تلك الصفة. </w:t>
      </w:r>
      <w:proofErr w:type="gramStart"/>
      <w:r w:rsidRPr="005B58D6">
        <w:rPr>
          <w:rFonts w:asciiTheme="majorBidi" w:eastAsia="Times New Roman" w:hAnsiTheme="majorBidi" w:cstheme="majorBidi"/>
          <w:b/>
          <w:bCs/>
          <w:sz w:val="28"/>
          <w:szCs w:val="28"/>
          <w:rtl/>
          <w:lang w:eastAsia="fr-FR"/>
        </w:rPr>
        <w:t>وحتى</w:t>
      </w:r>
      <w:proofErr w:type="gramEnd"/>
      <w:r w:rsidRPr="005B58D6">
        <w:rPr>
          <w:rFonts w:asciiTheme="majorBidi" w:eastAsia="Times New Roman" w:hAnsiTheme="majorBidi" w:cstheme="majorBidi"/>
          <w:b/>
          <w:bCs/>
          <w:sz w:val="28"/>
          <w:szCs w:val="28"/>
          <w:rtl/>
          <w:lang w:eastAsia="fr-FR"/>
        </w:rPr>
        <w:t xml:space="preserve"> لو صحّ ما يقال عنه، فيكون اكتشافاً يتيماً كما كان الاكتشاف الأول يتيماً. لم تؤسس عليه حركة تحقيقية متواصلة، مثل ما نلاحظ عند أصحاب الحديث، وعند نقاد الشعر.</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bookmarkStart w:id="0" w:name="_GoBack"/>
      <w:bookmarkEnd w:id="0"/>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لا يكفي، للحكم على أثر المنطق في الفكر الإسلامي، أن نحصر الكلام في المضمون فقط، لا بد لنا من الالتفات إلى ظروف التلقين، سيما ونحن نعلم ما دار حول ذلك من نقاش حادّ منذ القرن الماضي وإلى يومنا هذا في كل البلاد المتقدمة. لا ينفصل أبداً المنطق </w:t>
      </w:r>
      <w:proofErr w:type="gramStart"/>
      <w:r w:rsidRPr="005B58D6">
        <w:rPr>
          <w:rFonts w:asciiTheme="majorBidi" w:eastAsia="Times New Roman" w:hAnsiTheme="majorBidi" w:cstheme="majorBidi"/>
          <w:b/>
          <w:bCs/>
          <w:sz w:val="28"/>
          <w:szCs w:val="28"/>
          <w:rtl/>
          <w:lang w:eastAsia="fr-FR"/>
        </w:rPr>
        <w:t>عن</w:t>
      </w:r>
      <w:proofErr w:type="gramEnd"/>
      <w:r w:rsidRPr="005B58D6">
        <w:rPr>
          <w:rFonts w:asciiTheme="majorBidi" w:eastAsia="Times New Roman" w:hAnsiTheme="majorBidi" w:cstheme="majorBidi"/>
          <w:b/>
          <w:bCs/>
          <w:sz w:val="28"/>
          <w:szCs w:val="28"/>
          <w:rtl/>
          <w:lang w:eastAsia="fr-FR"/>
        </w:rPr>
        <w:t xml:space="preserve"> طرق تلقينه. نجد عند طه حسين في كتابه الأيام صفحات ممتعة وعميقة حول ظروف التعليم في الأزهر. والدلالة في شهادة طه حسين هي أنه كان يتعلم المنطق رغم أنه كان لا يبصر. كان إذن </w:t>
      </w:r>
      <w:proofErr w:type="gramStart"/>
      <w:r w:rsidRPr="005B58D6">
        <w:rPr>
          <w:rFonts w:asciiTheme="majorBidi" w:eastAsia="Times New Roman" w:hAnsiTheme="majorBidi" w:cstheme="majorBidi"/>
          <w:b/>
          <w:bCs/>
          <w:sz w:val="28"/>
          <w:szCs w:val="28"/>
          <w:rtl/>
          <w:lang w:eastAsia="fr-FR"/>
        </w:rPr>
        <w:t>متساوياً</w:t>
      </w:r>
      <w:proofErr w:type="gramEnd"/>
      <w:r w:rsidRPr="005B58D6">
        <w:rPr>
          <w:rFonts w:asciiTheme="majorBidi" w:eastAsia="Times New Roman" w:hAnsiTheme="majorBidi" w:cstheme="majorBidi"/>
          <w:b/>
          <w:bCs/>
          <w:sz w:val="28"/>
          <w:szCs w:val="28"/>
          <w:rtl/>
          <w:lang w:eastAsia="fr-FR"/>
        </w:rPr>
        <w:t xml:space="preserve"> مع زملائه المبصرين. </w:t>
      </w:r>
      <w:proofErr w:type="gramStart"/>
      <w:r w:rsidRPr="005B58D6">
        <w:rPr>
          <w:rFonts w:asciiTheme="majorBidi" w:eastAsia="Times New Roman" w:hAnsiTheme="majorBidi" w:cstheme="majorBidi"/>
          <w:b/>
          <w:bCs/>
          <w:sz w:val="28"/>
          <w:szCs w:val="28"/>
          <w:rtl/>
          <w:lang w:eastAsia="fr-FR"/>
        </w:rPr>
        <w:t>لم</w:t>
      </w:r>
      <w:proofErr w:type="gramEnd"/>
      <w:r w:rsidRPr="005B58D6">
        <w:rPr>
          <w:rFonts w:asciiTheme="majorBidi" w:eastAsia="Times New Roman" w:hAnsiTheme="majorBidi" w:cstheme="majorBidi"/>
          <w:b/>
          <w:bCs/>
          <w:sz w:val="28"/>
          <w:szCs w:val="28"/>
          <w:rtl/>
          <w:lang w:eastAsia="fr-FR"/>
        </w:rPr>
        <w:t xml:space="preserve"> يكن إذن المنطق المدروس آنذاك يتطلب أكثر من تصور القضايا في الذهن والحفظ لأن الأمثلة كانت كلها مأخوذة من اللغة. هل يتصور هذا في قاعة درس عصرية؟ إذا كان المنطق يدرس على الطريقة الأزهرية كيف </w:t>
      </w:r>
      <w:proofErr w:type="gramStart"/>
      <w:r w:rsidRPr="005B58D6">
        <w:rPr>
          <w:rFonts w:asciiTheme="majorBidi" w:eastAsia="Times New Roman" w:hAnsiTheme="majorBidi" w:cstheme="majorBidi"/>
          <w:b/>
          <w:bCs/>
          <w:sz w:val="28"/>
          <w:szCs w:val="28"/>
          <w:rtl/>
          <w:lang w:eastAsia="fr-FR"/>
        </w:rPr>
        <w:t>نتعجب</w:t>
      </w:r>
      <w:proofErr w:type="gramEnd"/>
      <w:r w:rsidRPr="005B58D6">
        <w:rPr>
          <w:rFonts w:asciiTheme="majorBidi" w:eastAsia="Times New Roman" w:hAnsiTheme="majorBidi" w:cstheme="majorBidi"/>
          <w:b/>
          <w:bCs/>
          <w:sz w:val="28"/>
          <w:szCs w:val="28"/>
          <w:rtl/>
          <w:lang w:eastAsia="fr-FR"/>
        </w:rPr>
        <w:t xml:space="preserve"> إذا استعمل أساساً في الجدال والخطابة والنقد؟ </w:t>
      </w:r>
      <w:proofErr w:type="gramStart"/>
      <w:r w:rsidRPr="005B58D6">
        <w:rPr>
          <w:rFonts w:asciiTheme="majorBidi" w:eastAsia="Times New Roman" w:hAnsiTheme="majorBidi" w:cstheme="majorBidi"/>
          <w:b/>
          <w:bCs/>
          <w:sz w:val="28"/>
          <w:szCs w:val="28"/>
          <w:rtl/>
          <w:lang w:eastAsia="fr-FR"/>
        </w:rPr>
        <w:t>وكيف</w:t>
      </w:r>
      <w:proofErr w:type="gramEnd"/>
      <w:r w:rsidRPr="005B58D6">
        <w:rPr>
          <w:rFonts w:asciiTheme="majorBidi" w:eastAsia="Times New Roman" w:hAnsiTheme="majorBidi" w:cstheme="majorBidi"/>
          <w:b/>
          <w:bCs/>
          <w:sz w:val="28"/>
          <w:szCs w:val="28"/>
          <w:rtl/>
          <w:lang w:eastAsia="fr-FR"/>
        </w:rPr>
        <w:t xml:space="preserve"> نتعجب إذا بقيت المعارضة له حيّة تستغل نفس الاعتراضات التي فاه بها اللغويون والنحاة منذ البداية؟</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proofErr w:type="gramStart"/>
      <w:r w:rsidRPr="005B58D6">
        <w:rPr>
          <w:rFonts w:asciiTheme="majorBidi" w:eastAsia="Times New Roman" w:hAnsiTheme="majorBidi" w:cstheme="majorBidi"/>
          <w:b/>
          <w:bCs/>
          <w:sz w:val="28"/>
          <w:szCs w:val="28"/>
          <w:rtl/>
          <w:lang w:eastAsia="fr-FR"/>
        </w:rPr>
        <w:t>لننتقل</w:t>
      </w:r>
      <w:proofErr w:type="gramEnd"/>
      <w:r w:rsidRPr="005B58D6">
        <w:rPr>
          <w:rFonts w:asciiTheme="majorBidi" w:eastAsia="Times New Roman" w:hAnsiTheme="majorBidi" w:cstheme="majorBidi"/>
          <w:b/>
          <w:bCs/>
          <w:sz w:val="28"/>
          <w:szCs w:val="28"/>
          <w:rtl/>
          <w:lang w:eastAsia="fr-FR"/>
        </w:rPr>
        <w:t xml:space="preserve"> من الأزهر إلى معهد تعليمي أوروبي، نلاحظ على التوّ أن لا أحد يتصور تلقين المنطق بدون رسم أو خط، أي بدون كتابة وبدون لجوء إلى رموز عددية أو هندسية. </w:t>
      </w:r>
      <w:proofErr w:type="gramStart"/>
      <w:r w:rsidRPr="005B58D6">
        <w:rPr>
          <w:rFonts w:asciiTheme="majorBidi" w:eastAsia="Times New Roman" w:hAnsiTheme="majorBidi" w:cstheme="majorBidi"/>
          <w:b/>
          <w:bCs/>
          <w:sz w:val="28"/>
          <w:szCs w:val="28"/>
          <w:rtl/>
          <w:lang w:eastAsia="fr-FR"/>
        </w:rPr>
        <w:t>وندرك</w:t>
      </w:r>
      <w:proofErr w:type="gramEnd"/>
      <w:r w:rsidRPr="005B58D6">
        <w:rPr>
          <w:rFonts w:asciiTheme="majorBidi" w:eastAsia="Times New Roman" w:hAnsiTheme="majorBidi" w:cstheme="majorBidi"/>
          <w:b/>
          <w:bCs/>
          <w:sz w:val="28"/>
          <w:szCs w:val="28"/>
          <w:rtl/>
          <w:lang w:eastAsia="fr-FR"/>
        </w:rPr>
        <w:t xml:space="preserve"> في الحين كيف أمكن لهذا المنطق الذي لا يكتفي بالعبارة الشفوية أن يتطور من منطق شكلي أو صوري إلى منطق رمزي. </w:t>
      </w:r>
      <w:proofErr w:type="gramStart"/>
      <w:r w:rsidRPr="005B58D6">
        <w:rPr>
          <w:rFonts w:asciiTheme="majorBidi" w:eastAsia="Times New Roman" w:hAnsiTheme="majorBidi" w:cstheme="majorBidi"/>
          <w:b/>
          <w:bCs/>
          <w:sz w:val="28"/>
          <w:szCs w:val="28"/>
          <w:rtl/>
          <w:lang w:eastAsia="fr-FR"/>
        </w:rPr>
        <w:t>فالرمز</w:t>
      </w:r>
      <w:proofErr w:type="gramEnd"/>
      <w:r w:rsidRPr="005B58D6">
        <w:rPr>
          <w:rFonts w:asciiTheme="majorBidi" w:eastAsia="Times New Roman" w:hAnsiTheme="majorBidi" w:cstheme="majorBidi"/>
          <w:b/>
          <w:bCs/>
          <w:sz w:val="28"/>
          <w:szCs w:val="28"/>
          <w:rtl/>
          <w:lang w:eastAsia="fr-FR"/>
        </w:rPr>
        <w:t xml:space="preserve"> هو الذي يظهر ما خفي من علاقة المنطق، وبخاصة في شكل البرهان، بالرياضيات، وبالتالي يوضح أنه لغة فوق اللغات وبالتالي لا يتأثر في شيء بالاعتراضات التي تنبثق من تفحص إحدى اللغات الطبيعية، أي النحو فيما يخصنا. </w:t>
      </w:r>
      <w:proofErr w:type="gramStart"/>
      <w:r w:rsidRPr="005B58D6">
        <w:rPr>
          <w:rFonts w:asciiTheme="majorBidi" w:eastAsia="Times New Roman" w:hAnsiTheme="majorBidi" w:cstheme="majorBidi"/>
          <w:b/>
          <w:bCs/>
          <w:sz w:val="28"/>
          <w:szCs w:val="28"/>
          <w:rtl/>
          <w:lang w:eastAsia="fr-FR"/>
        </w:rPr>
        <w:t>فعدم</w:t>
      </w:r>
      <w:proofErr w:type="gramEnd"/>
      <w:r w:rsidRPr="005B58D6">
        <w:rPr>
          <w:rFonts w:asciiTheme="majorBidi" w:eastAsia="Times New Roman" w:hAnsiTheme="majorBidi" w:cstheme="majorBidi"/>
          <w:b/>
          <w:bCs/>
          <w:sz w:val="28"/>
          <w:szCs w:val="28"/>
          <w:rtl/>
          <w:lang w:eastAsia="fr-FR"/>
        </w:rPr>
        <w:t xml:space="preserve"> انتشار الملكة الكتابية وضيق رقعة الترميز، إذا كانت الأمثلة تعتمد على حروف هجائية منطوقة فقط، كل هذا، الناجم عن أوضاع اجتماعية معينة، منع الأنصار والخصوم من الاهتداء إلى الطريق المؤدي إلى تطور مستمر. والدليل على ما نقول هو </w:t>
      </w:r>
      <w:r w:rsidRPr="005B58D6">
        <w:rPr>
          <w:rFonts w:asciiTheme="majorBidi" w:eastAsia="Times New Roman" w:hAnsiTheme="majorBidi" w:cstheme="majorBidi"/>
          <w:b/>
          <w:bCs/>
          <w:sz w:val="28"/>
          <w:szCs w:val="28"/>
          <w:rtl/>
          <w:lang w:eastAsia="fr-FR"/>
        </w:rPr>
        <w:lastRenderedPageBreak/>
        <w:t>سكوت متّى على ما قرره السيرافي من أن: "لا سبيل إلى إحداث لغة في لغة مقررة بين أهلها". (ص122) و: "</w:t>
      </w:r>
      <w:proofErr w:type="gramStart"/>
      <w:r w:rsidRPr="005B58D6">
        <w:rPr>
          <w:rFonts w:asciiTheme="majorBidi" w:eastAsia="Times New Roman" w:hAnsiTheme="majorBidi" w:cstheme="majorBidi"/>
          <w:b/>
          <w:bCs/>
          <w:sz w:val="28"/>
          <w:szCs w:val="28"/>
          <w:rtl/>
          <w:lang w:eastAsia="fr-FR"/>
        </w:rPr>
        <w:t>ليس</w:t>
      </w:r>
      <w:proofErr w:type="gramEnd"/>
      <w:r w:rsidRPr="005B58D6">
        <w:rPr>
          <w:rFonts w:asciiTheme="majorBidi" w:eastAsia="Times New Roman" w:hAnsiTheme="majorBidi" w:cstheme="majorBidi"/>
          <w:b/>
          <w:bCs/>
          <w:sz w:val="28"/>
          <w:szCs w:val="28"/>
          <w:rtl/>
          <w:lang w:eastAsia="fr-FR"/>
        </w:rPr>
        <w:t xml:space="preserve"> في قوة اللفظ من أي لغة كان أن يملك ذلك المبسوط (العقلي) ويحيط به" (ص 126). </w:t>
      </w:r>
      <w:proofErr w:type="gramStart"/>
      <w:r w:rsidRPr="005B58D6">
        <w:rPr>
          <w:rFonts w:asciiTheme="majorBidi" w:eastAsia="Times New Roman" w:hAnsiTheme="majorBidi" w:cstheme="majorBidi"/>
          <w:b/>
          <w:bCs/>
          <w:sz w:val="28"/>
          <w:szCs w:val="28"/>
          <w:rtl/>
          <w:lang w:eastAsia="fr-FR"/>
        </w:rPr>
        <w:t>يكفي</w:t>
      </w:r>
      <w:proofErr w:type="gramEnd"/>
      <w:r w:rsidRPr="005B58D6">
        <w:rPr>
          <w:rFonts w:asciiTheme="majorBidi" w:eastAsia="Times New Roman" w:hAnsiTheme="majorBidi" w:cstheme="majorBidi"/>
          <w:b/>
          <w:bCs/>
          <w:sz w:val="28"/>
          <w:szCs w:val="28"/>
          <w:rtl/>
          <w:lang w:eastAsia="fr-FR"/>
        </w:rPr>
        <w:t xml:space="preserve"> أن نبدل اللفظ بالرمز لكي يرتفع الامتناع ويتطور المنطق إلى درجة أعلى. </w:t>
      </w:r>
      <w:proofErr w:type="gramStart"/>
      <w:r w:rsidRPr="005B58D6">
        <w:rPr>
          <w:rFonts w:asciiTheme="majorBidi" w:eastAsia="Times New Roman" w:hAnsiTheme="majorBidi" w:cstheme="majorBidi"/>
          <w:b/>
          <w:bCs/>
          <w:sz w:val="28"/>
          <w:szCs w:val="28"/>
          <w:rtl/>
          <w:lang w:eastAsia="fr-FR"/>
        </w:rPr>
        <w:t>إلا</w:t>
      </w:r>
      <w:proofErr w:type="gramEnd"/>
      <w:r w:rsidRPr="005B58D6">
        <w:rPr>
          <w:rFonts w:asciiTheme="majorBidi" w:eastAsia="Times New Roman" w:hAnsiTheme="majorBidi" w:cstheme="majorBidi"/>
          <w:b/>
          <w:bCs/>
          <w:sz w:val="28"/>
          <w:szCs w:val="28"/>
          <w:rtl/>
          <w:lang w:eastAsia="fr-FR"/>
        </w:rPr>
        <w:t xml:space="preserve"> أن مثل هذا التطور لم يكن وارداً في إطار ثقافة شفوية وفي مجتمع غير متجانس.</w:t>
      </w:r>
    </w:p>
    <w:p w:rsidR="005B58D6" w:rsidRPr="005B58D6" w:rsidRDefault="005B58D6" w:rsidP="005B58D6">
      <w:pPr>
        <w:spacing w:after="0" w:line="360" w:lineRule="auto"/>
        <w:rPr>
          <w:rFonts w:asciiTheme="majorBidi" w:eastAsia="Times New Roman" w:hAnsiTheme="majorBidi" w:cstheme="majorBidi"/>
          <w:sz w:val="28"/>
          <w:szCs w:val="28"/>
          <w:rtl/>
          <w:lang w:eastAsia="fr-FR"/>
        </w:rPr>
      </w:pPr>
      <w:r w:rsidRPr="005B58D6">
        <w:rPr>
          <w:rFonts w:asciiTheme="majorBidi" w:eastAsia="Times New Roman" w:hAnsiTheme="majorBidi" w:cstheme="majorBidi"/>
          <w:sz w:val="28"/>
          <w:szCs w:val="28"/>
          <w:lang w:eastAsia="fr-FR"/>
        </w:rPr>
        <w:br/>
      </w:r>
    </w:p>
    <w:p w:rsidR="005B58D6" w:rsidRPr="005B58D6" w:rsidRDefault="005B58D6" w:rsidP="005B58D6">
      <w:pPr>
        <w:bidi/>
        <w:spacing w:after="0" w:line="360" w:lineRule="auto"/>
        <w:ind w:left="510" w:right="510"/>
        <w:jc w:val="both"/>
        <w:rPr>
          <w:rFonts w:asciiTheme="majorBidi" w:eastAsia="Times New Roman" w:hAnsiTheme="majorBidi" w:cstheme="majorBidi"/>
          <w:sz w:val="28"/>
          <w:szCs w:val="28"/>
          <w:lang w:eastAsia="fr-FR"/>
        </w:rPr>
      </w:pPr>
      <w:r w:rsidRPr="005B58D6">
        <w:rPr>
          <w:rFonts w:asciiTheme="majorBidi" w:eastAsia="Times New Roman" w:hAnsiTheme="majorBidi" w:cstheme="majorBidi"/>
          <w:b/>
          <w:bCs/>
          <w:sz w:val="28"/>
          <w:szCs w:val="28"/>
          <w:rtl/>
          <w:lang w:eastAsia="fr-FR"/>
        </w:rPr>
        <w:t xml:space="preserve">لو تصورنا أن المسلمين عرفوا المنطق لا كعلم مستقل عن المحيط الثقافي، بل كعبارة عن الواقع اليوناني، فقاموا بتحقيق نص المسند الأرسطي في عملية جماعية لا تتوقف وتظهر باستمرار وفي كل مرحلة </w:t>
      </w:r>
      <w:proofErr w:type="spellStart"/>
      <w:r w:rsidRPr="005B58D6">
        <w:rPr>
          <w:rFonts w:asciiTheme="majorBidi" w:eastAsia="Times New Roman" w:hAnsiTheme="majorBidi" w:cstheme="majorBidi"/>
          <w:b/>
          <w:bCs/>
          <w:sz w:val="28"/>
          <w:szCs w:val="28"/>
          <w:rtl/>
          <w:lang w:eastAsia="fr-FR"/>
        </w:rPr>
        <w:t>مرحلة</w:t>
      </w:r>
      <w:proofErr w:type="spellEnd"/>
      <w:r w:rsidRPr="005B58D6">
        <w:rPr>
          <w:rFonts w:asciiTheme="majorBidi" w:eastAsia="Times New Roman" w:hAnsiTheme="majorBidi" w:cstheme="majorBidi"/>
          <w:b/>
          <w:bCs/>
          <w:sz w:val="28"/>
          <w:szCs w:val="28"/>
          <w:rtl/>
          <w:lang w:eastAsia="fr-FR"/>
        </w:rPr>
        <w:t xml:space="preserve"> مستوى أشمل وأعمق من تلك الأرضية الثقافية، لتمّ لديهم بالضرورة تفكيك المسند إلى مكوناته، </w:t>
      </w:r>
      <w:proofErr w:type="spellStart"/>
      <w:r w:rsidRPr="005B58D6">
        <w:rPr>
          <w:rFonts w:asciiTheme="majorBidi" w:eastAsia="Times New Roman" w:hAnsiTheme="majorBidi" w:cstheme="majorBidi"/>
          <w:b/>
          <w:bCs/>
          <w:sz w:val="28"/>
          <w:szCs w:val="28"/>
          <w:rtl/>
          <w:lang w:eastAsia="fr-FR"/>
        </w:rPr>
        <w:t>ولتجلّى</w:t>
      </w:r>
      <w:proofErr w:type="spellEnd"/>
      <w:r w:rsidRPr="005B58D6">
        <w:rPr>
          <w:rFonts w:asciiTheme="majorBidi" w:eastAsia="Times New Roman" w:hAnsiTheme="majorBidi" w:cstheme="majorBidi"/>
          <w:b/>
          <w:bCs/>
          <w:sz w:val="28"/>
          <w:szCs w:val="28"/>
          <w:rtl/>
          <w:lang w:eastAsia="fr-FR"/>
        </w:rPr>
        <w:t xml:space="preserve"> ارتباط كل كتاب من الكتب الثمانية بمجموعة معينة من المعارف المكتسبة طيلة القرون السابقة، ولما ظهر لهم كشكل من أشكال الكائن المختلفة كما تصور ذلك المترجمون والشراح الأوائل، وجلهم نصارى ورثوا هذا التأويل عن أسلافهم، </w:t>
      </w:r>
      <w:proofErr w:type="spellStart"/>
      <w:r w:rsidRPr="005B58D6">
        <w:rPr>
          <w:rFonts w:asciiTheme="majorBidi" w:eastAsia="Times New Roman" w:hAnsiTheme="majorBidi" w:cstheme="majorBidi"/>
          <w:b/>
          <w:bCs/>
          <w:sz w:val="28"/>
          <w:szCs w:val="28"/>
          <w:rtl/>
          <w:lang w:eastAsia="fr-FR"/>
        </w:rPr>
        <w:t>ولاتضح</w:t>
      </w:r>
      <w:proofErr w:type="spellEnd"/>
      <w:r w:rsidRPr="005B58D6">
        <w:rPr>
          <w:rFonts w:asciiTheme="majorBidi" w:eastAsia="Times New Roman" w:hAnsiTheme="majorBidi" w:cstheme="majorBidi"/>
          <w:b/>
          <w:bCs/>
          <w:sz w:val="28"/>
          <w:szCs w:val="28"/>
          <w:rtl/>
          <w:lang w:eastAsia="fr-FR"/>
        </w:rPr>
        <w:t xml:space="preserve"> كذلك أثناء التفكيك اتصال كتاب البرهان بالرياضيات، ولظهر بالتالي أن ما يجب القيام به ليس التعريب، إبدال كلمة بأخرى، بل الترميز، إبدال فكرة برقم أو تخطيط. هل يتصور أحد أنه يمكن أن تحل السبّورة محل اللوح، والتباشير محل القلم، والمقعد محل الحصير، والمدرسة محل الزاوية أو المسجد في ظروف غير هذه وبدون هذه المسبقات الفكرية والثقافية؟</w:t>
      </w:r>
    </w:p>
    <w:p w:rsidR="003F7C51" w:rsidRPr="005B58D6" w:rsidRDefault="003F7C51" w:rsidP="005B58D6">
      <w:pPr>
        <w:bidi/>
        <w:spacing w:line="360" w:lineRule="auto"/>
        <w:jc w:val="both"/>
        <w:rPr>
          <w:rFonts w:asciiTheme="majorBidi" w:hAnsiTheme="majorBidi" w:cstheme="majorBidi"/>
          <w:sz w:val="28"/>
          <w:szCs w:val="28"/>
        </w:rPr>
      </w:pPr>
    </w:p>
    <w:sectPr w:rsidR="003F7C51" w:rsidRPr="005B58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8D6"/>
    <w:rsid w:val="002953E7"/>
    <w:rsid w:val="00331C29"/>
    <w:rsid w:val="003F7C51"/>
    <w:rsid w:val="005B58D6"/>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B58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B58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1031</Words>
  <Characters>5672</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2013-05-28T09:08:00Z</cp:lastPrinted>
  <dcterms:created xsi:type="dcterms:W3CDTF">2013-05-28T09:07:00Z</dcterms:created>
  <dcterms:modified xsi:type="dcterms:W3CDTF">2013-05-28T09:08:00Z</dcterms:modified>
</cp:coreProperties>
</file>