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t xml:space="preserve">القياس - عبداللّه </w:t>
      </w:r>
      <w:proofErr w:type="spellStart"/>
      <w:r w:rsidRPr="00517B67">
        <w:rPr>
          <w:rFonts w:asciiTheme="majorBidi" w:eastAsia="Times New Roman" w:hAnsiTheme="majorBidi" w:cstheme="majorBidi"/>
          <w:b/>
          <w:bCs/>
          <w:sz w:val="28"/>
          <w:szCs w:val="28"/>
          <w:rtl/>
          <w:lang w:eastAsia="fr-FR"/>
        </w:rPr>
        <w:t>العروي</w:t>
      </w:r>
      <w:proofErr w:type="spellEnd"/>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t xml:space="preserve">أجمع المناطقة المسلمون، تبعا لمن سبقهم في هذا الميدان، أن المقصود من المنطق هو إقرار نوع من الحجة يولد اليقين في النفس، على زعمهم، إلا أنهم وجدوا صعوبة، على الأقل </w:t>
      </w:r>
      <w:proofErr w:type="spellStart"/>
      <w:r w:rsidRPr="00517B67">
        <w:rPr>
          <w:rFonts w:asciiTheme="majorBidi" w:eastAsia="Times New Roman" w:hAnsiTheme="majorBidi" w:cstheme="majorBidi"/>
          <w:b/>
          <w:bCs/>
          <w:sz w:val="28"/>
          <w:szCs w:val="28"/>
          <w:rtl/>
          <w:lang w:eastAsia="fr-FR"/>
        </w:rPr>
        <w:t>بادىء</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الامر</w:t>
      </w:r>
      <w:proofErr w:type="spellEnd"/>
      <w:r w:rsidRPr="00517B67">
        <w:rPr>
          <w:rFonts w:asciiTheme="majorBidi" w:eastAsia="Times New Roman" w:hAnsiTheme="majorBidi" w:cstheme="majorBidi"/>
          <w:b/>
          <w:bCs/>
          <w:sz w:val="28"/>
          <w:szCs w:val="28"/>
          <w:rtl/>
          <w:lang w:eastAsia="fr-FR"/>
        </w:rPr>
        <w:t xml:space="preserve">، في الاصطلاح على أسم واحد. كان الفقهاء واللغويون والمتكلمون قد اهتدوا، قبل أن يترجم المسند </w:t>
      </w:r>
      <w:proofErr w:type="spellStart"/>
      <w:r w:rsidRPr="00517B67">
        <w:rPr>
          <w:rFonts w:asciiTheme="majorBidi" w:eastAsia="Times New Roman" w:hAnsiTheme="majorBidi" w:cstheme="majorBidi"/>
          <w:b/>
          <w:bCs/>
          <w:sz w:val="28"/>
          <w:szCs w:val="28"/>
          <w:rtl/>
          <w:lang w:eastAsia="fr-FR"/>
        </w:rPr>
        <w:t>الارسطي</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نوع من الاستدلال نعتوه بالقياس، </w:t>
      </w:r>
      <w:proofErr w:type="spellStart"/>
      <w:r w:rsidRPr="00517B67">
        <w:rPr>
          <w:rFonts w:asciiTheme="majorBidi" w:eastAsia="Times New Roman" w:hAnsiTheme="majorBidi" w:cstheme="majorBidi"/>
          <w:b/>
          <w:bCs/>
          <w:sz w:val="28"/>
          <w:szCs w:val="28"/>
          <w:rtl/>
          <w:lang w:eastAsia="fr-FR"/>
        </w:rPr>
        <w:t>والاصل</w:t>
      </w:r>
      <w:proofErr w:type="spellEnd"/>
      <w:r w:rsidRPr="00517B67">
        <w:rPr>
          <w:rFonts w:asciiTheme="majorBidi" w:eastAsia="Times New Roman" w:hAnsiTheme="majorBidi" w:cstheme="majorBidi"/>
          <w:b/>
          <w:bCs/>
          <w:sz w:val="28"/>
          <w:szCs w:val="28"/>
          <w:rtl/>
          <w:lang w:eastAsia="fr-FR"/>
        </w:rPr>
        <w:t xml:space="preserve"> فيه بديهي وهو أن حكم الشيء حكم أشباهه. فلما ترجم المنطق اليوناني ظهر أن القياس قد يكتسي </w:t>
      </w:r>
      <w:proofErr w:type="spellStart"/>
      <w:r w:rsidRPr="00517B67">
        <w:rPr>
          <w:rFonts w:asciiTheme="majorBidi" w:eastAsia="Times New Roman" w:hAnsiTheme="majorBidi" w:cstheme="majorBidi"/>
          <w:b/>
          <w:bCs/>
          <w:sz w:val="28"/>
          <w:szCs w:val="28"/>
          <w:rtl/>
          <w:lang w:eastAsia="fr-FR"/>
        </w:rPr>
        <w:t>اشكالاً</w:t>
      </w:r>
      <w:proofErr w:type="spellEnd"/>
      <w:r w:rsidRPr="00517B67">
        <w:rPr>
          <w:rFonts w:asciiTheme="majorBidi" w:eastAsia="Times New Roman" w:hAnsiTheme="majorBidi" w:cstheme="majorBidi"/>
          <w:b/>
          <w:bCs/>
          <w:sz w:val="28"/>
          <w:szCs w:val="28"/>
          <w:rtl/>
          <w:lang w:eastAsia="fr-FR"/>
        </w:rPr>
        <w:t xml:space="preserve"> مختلفة: «القياسات برهانية وجدلية وتقريرية وخطابية وشعرية (510)». من القياسات </w:t>
      </w:r>
      <w:proofErr w:type="spellStart"/>
      <w:r w:rsidRPr="00517B67">
        <w:rPr>
          <w:rFonts w:asciiTheme="majorBidi" w:eastAsia="Times New Roman" w:hAnsiTheme="majorBidi" w:cstheme="majorBidi"/>
          <w:b/>
          <w:bCs/>
          <w:sz w:val="28"/>
          <w:szCs w:val="28"/>
          <w:rtl/>
          <w:lang w:eastAsia="fr-FR"/>
        </w:rPr>
        <w:t>اذن</w:t>
      </w:r>
      <w:proofErr w:type="spellEnd"/>
      <w:r w:rsidRPr="00517B67">
        <w:rPr>
          <w:rFonts w:asciiTheme="majorBidi" w:eastAsia="Times New Roman" w:hAnsiTheme="majorBidi" w:cstheme="majorBidi"/>
          <w:b/>
          <w:bCs/>
          <w:sz w:val="28"/>
          <w:szCs w:val="28"/>
          <w:rtl/>
          <w:lang w:eastAsia="fr-FR"/>
        </w:rPr>
        <w:t xml:space="preserve"> ما يطابق ما اسماه </w:t>
      </w:r>
      <w:proofErr w:type="spellStart"/>
      <w:r w:rsidRPr="00517B67">
        <w:rPr>
          <w:rFonts w:asciiTheme="majorBidi" w:eastAsia="Times New Roman" w:hAnsiTheme="majorBidi" w:cstheme="majorBidi"/>
          <w:b/>
          <w:bCs/>
          <w:sz w:val="28"/>
          <w:szCs w:val="28"/>
          <w:rtl/>
          <w:lang w:eastAsia="fr-FR"/>
        </w:rPr>
        <w:t>أرسطوا</w:t>
      </w:r>
      <w:proofErr w:type="spellEnd"/>
      <w:r w:rsidRPr="00517B67">
        <w:rPr>
          <w:rFonts w:asciiTheme="majorBidi" w:eastAsia="Times New Roman" w:hAnsiTheme="majorBidi" w:cstheme="majorBidi"/>
          <w:b/>
          <w:bCs/>
          <w:sz w:val="28"/>
          <w:szCs w:val="28"/>
          <w:rtl/>
          <w:lang w:eastAsia="fr-FR"/>
        </w:rPr>
        <w:t xml:space="preserve"> التمثيل، ومنه ما يساوي ما سماه الاستقراء، ومنه ما قد يبدو على شكل أطلق عيه اسم </w:t>
      </w:r>
      <w:proofErr w:type="spellStart"/>
      <w:r w:rsidRPr="00517B67">
        <w:rPr>
          <w:rFonts w:asciiTheme="majorBidi" w:eastAsia="Times New Roman" w:hAnsiTheme="majorBidi" w:cstheme="majorBidi"/>
          <w:b/>
          <w:bCs/>
          <w:sz w:val="28"/>
          <w:szCs w:val="28"/>
          <w:rtl/>
          <w:lang w:eastAsia="fr-FR"/>
        </w:rPr>
        <w:t>السلجسموس</w:t>
      </w:r>
      <w:proofErr w:type="spellEnd"/>
      <w:r w:rsidRPr="00517B67">
        <w:rPr>
          <w:rFonts w:asciiTheme="majorBidi" w:eastAsia="Times New Roman" w:hAnsiTheme="majorBidi" w:cstheme="majorBidi"/>
          <w:b/>
          <w:bCs/>
          <w:sz w:val="28"/>
          <w:szCs w:val="28"/>
          <w:rtl/>
          <w:lang w:eastAsia="fr-FR"/>
        </w:rPr>
        <w:t xml:space="preserve"> دون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يعدله في البيان وشعور </w:t>
      </w:r>
      <w:proofErr w:type="spellStart"/>
      <w:r w:rsidRPr="00517B67">
        <w:rPr>
          <w:rFonts w:asciiTheme="majorBidi" w:eastAsia="Times New Roman" w:hAnsiTheme="majorBidi" w:cstheme="majorBidi"/>
          <w:b/>
          <w:bCs/>
          <w:sz w:val="28"/>
          <w:szCs w:val="28"/>
          <w:rtl/>
          <w:lang w:eastAsia="fr-FR"/>
        </w:rPr>
        <w:t>القارىء</w:t>
      </w:r>
      <w:proofErr w:type="spellEnd"/>
      <w:r w:rsidRPr="00517B67">
        <w:rPr>
          <w:rFonts w:asciiTheme="majorBidi" w:eastAsia="Times New Roman" w:hAnsiTheme="majorBidi" w:cstheme="majorBidi"/>
          <w:b/>
          <w:bCs/>
          <w:sz w:val="28"/>
          <w:szCs w:val="28"/>
          <w:rtl/>
          <w:lang w:eastAsia="fr-FR"/>
        </w:rPr>
        <w:t xml:space="preserve"> أو السامع بضرورة الانقياد وترك المجادلة، </w:t>
      </w:r>
      <w:proofErr w:type="spellStart"/>
      <w:r w:rsidRPr="00517B67">
        <w:rPr>
          <w:rFonts w:asciiTheme="majorBidi" w:eastAsia="Times New Roman" w:hAnsiTheme="majorBidi" w:cstheme="majorBidi"/>
          <w:b/>
          <w:bCs/>
          <w:sz w:val="28"/>
          <w:szCs w:val="28"/>
          <w:rtl/>
          <w:lang w:eastAsia="fr-FR"/>
        </w:rPr>
        <w:t>اذ</w:t>
      </w:r>
      <w:proofErr w:type="spellEnd"/>
      <w:r w:rsidRPr="00517B67">
        <w:rPr>
          <w:rFonts w:asciiTheme="majorBidi" w:eastAsia="Times New Roman" w:hAnsiTheme="majorBidi" w:cstheme="majorBidi"/>
          <w:b/>
          <w:bCs/>
          <w:sz w:val="28"/>
          <w:szCs w:val="28"/>
          <w:rtl/>
          <w:lang w:eastAsia="fr-FR"/>
        </w:rPr>
        <w:t xml:space="preserve"> يوجد في هذا النوع من الليل ما </w:t>
      </w:r>
      <w:proofErr w:type="spellStart"/>
      <w:r w:rsidRPr="00517B67">
        <w:rPr>
          <w:rFonts w:asciiTheme="majorBidi" w:eastAsia="Times New Roman" w:hAnsiTheme="majorBidi" w:cstheme="majorBidi"/>
          <w:b/>
          <w:bCs/>
          <w:sz w:val="28"/>
          <w:szCs w:val="28"/>
          <w:rtl/>
          <w:lang w:eastAsia="fr-FR"/>
        </w:rPr>
        <w:t>لايوجد</w:t>
      </w:r>
      <w:proofErr w:type="spellEnd"/>
      <w:r w:rsidRPr="00517B67">
        <w:rPr>
          <w:rFonts w:asciiTheme="majorBidi" w:eastAsia="Times New Roman" w:hAnsiTheme="majorBidi" w:cstheme="majorBidi"/>
          <w:b/>
          <w:bCs/>
          <w:sz w:val="28"/>
          <w:szCs w:val="28"/>
          <w:rtl/>
          <w:lang w:eastAsia="fr-FR"/>
        </w:rPr>
        <w:t xml:space="preserve"> في القياس وان اتخذ هذا الأخير صورته الظاهرة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ابن حزم </w:t>
      </w:r>
      <w:proofErr w:type="spellStart"/>
      <w:r w:rsidRPr="00517B67">
        <w:rPr>
          <w:rFonts w:asciiTheme="majorBidi" w:eastAsia="Times New Roman" w:hAnsiTheme="majorBidi" w:cstheme="majorBidi"/>
          <w:b/>
          <w:bCs/>
          <w:sz w:val="28"/>
          <w:szCs w:val="28"/>
          <w:rtl/>
          <w:lang w:eastAsia="fr-FR"/>
        </w:rPr>
        <w:t>لايترجم</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السلجسموس</w:t>
      </w:r>
      <w:proofErr w:type="spellEnd"/>
      <w:r w:rsidRPr="00517B67">
        <w:rPr>
          <w:rFonts w:asciiTheme="majorBidi" w:eastAsia="Times New Roman" w:hAnsiTheme="majorBidi" w:cstheme="majorBidi"/>
          <w:b/>
          <w:bCs/>
          <w:sz w:val="28"/>
          <w:szCs w:val="28"/>
          <w:rtl/>
          <w:lang w:eastAsia="fr-FR"/>
        </w:rPr>
        <w:t xml:space="preserve"> ويكتفي بوصفه وتميزه عن أشكال الحجج الأخرى، ويعود الفضل في تخصيص كلمة برهان لهذا النوع من الأقيسة لابن رشد. </w:t>
      </w:r>
      <w:proofErr w:type="gramStart"/>
      <w:r w:rsidRPr="00517B67">
        <w:rPr>
          <w:rFonts w:asciiTheme="majorBidi" w:eastAsia="Times New Roman" w:hAnsiTheme="majorBidi" w:cstheme="majorBidi"/>
          <w:b/>
          <w:bCs/>
          <w:sz w:val="28"/>
          <w:szCs w:val="28"/>
          <w:rtl/>
          <w:lang w:eastAsia="fr-FR"/>
        </w:rPr>
        <w:t>فأصبح</w:t>
      </w:r>
      <w:proofErr w:type="gramEnd"/>
      <w:r w:rsidRPr="00517B67">
        <w:rPr>
          <w:rFonts w:asciiTheme="majorBidi" w:eastAsia="Times New Roman" w:hAnsiTheme="majorBidi" w:cstheme="majorBidi"/>
          <w:b/>
          <w:bCs/>
          <w:sz w:val="28"/>
          <w:szCs w:val="28"/>
          <w:rtl/>
          <w:lang w:eastAsia="fr-FR"/>
        </w:rPr>
        <w:t xml:space="preserve"> من المسلمات بعده أن الحكماء يعتمدون البرهان، وأن المتكلمين والأصوليين يعتمدون القياس (التمثيلي أو الاستقرائي)، والأدباء والخطباء المجاز. وعاد من أهم النقاط الدالة على اتجاه هذا المفكر </w:t>
      </w:r>
      <w:proofErr w:type="spellStart"/>
      <w:r w:rsidRPr="00517B67">
        <w:rPr>
          <w:rFonts w:asciiTheme="majorBidi" w:eastAsia="Times New Roman" w:hAnsiTheme="majorBidi" w:cstheme="majorBidi"/>
          <w:b/>
          <w:bCs/>
          <w:sz w:val="28"/>
          <w:szCs w:val="28"/>
          <w:rtl/>
          <w:lang w:eastAsia="fr-FR"/>
        </w:rPr>
        <w:t>الاسلامي</w:t>
      </w:r>
      <w:proofErr w:type="spellEnd"/>
      <w:r w:rsidRPr="00517B67">
        <w:rPr>
          <w:rFonts w:asciiTheme="majorBidi" w:eastAsia="Times New Roman" w:hAnsiTheme="majorBidi" w:cstheme="majorBidi"/>
          <w:b/>
          <w:bCs/>
          <w:sz w:val="28"/>
          <w:szCs w:val="28"/>
          <w:rtl/>
          <w:lang w:eastAsia="fr-FR"/>
        </w:rPr>
        <w:t xml:space="preserve"> أو ذاك موقفه من مسألة البرهان والقياس: ما الفرق بينهما؟ أيهما أعلق بالحق؟ أيهما يورث اليقين؟</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t xml:space="preserve">يقول المناطقة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ما يميز الحجة البرهانية، في شكلها الثلاثي، أي بحدودها الثلاثة، بمقدمتها وقرينتها وجامعتها (في عبارة ابن حزم)، هو أنها تؤدي بالضرورة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اليقين، لا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مجرد الظن، فتلزم العقل بالتسليم وتنفي عنه التردد والشك لكن اليقين، ليس مفهوماً منطقياً، مثله مثل الشك والظن والترجيح. يصح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يعتبر وسيلة، </w:t>
      </w:r>
      <w:proofErr w:type="spellStart"/>
      <w:r w:rsidRPr="00517B67">
        <w:rPr>
          <w:rFonts w:asciiTheme="majorBidi" w:eastAsia="Times New Roman" w:hAnsiTheme="majorBidi" w:cstheme="majorBidi"/>
          <w:b/>
          <w:bCs/>
          <w:sz w:val="28"/>
          <w:szCs w:val="28"/>
          <w:rtl/>
          <w:lang w:eastAsia="fr-FR"/>
        </w:rPr>
        <w:t>اشارة</w:t>
      </w:r>
      <w:proofErr w:type="spellEnd"/>
      <w:r w:rsidRPr="00517B67">
        <w:rPr>
          <w:rFonts w:asciiTheme="majorBidi" w:eastAsia="Times New Roman" w:hAnsiTheme="majorBidi" w:cstheme="majorBidi"/>
          <w:b/>
          <w:bCs/>
          <w:sz w:val="28"/>
          <w:szCs w:val="28"/>
          <w:rtl/>
          <w:lang w:eastAsia="fr-FR"/>
        </w:rPr>
        <w:t xml:space="preserve">، لذلك المفهوم المنطقي، فيبقى أن نحدد بالضبط ما هو ذلك الشيء المضمن في البرهان والذي يترتب عنه اليقين. </w:t>
      </w:r>
      <w:proofErr w:type="gramStart"/>
      <w:r w:rsidRPr="00517B67">
        <w:rPr>
          <w:rFonts w:asciiTheme="majorBidi" w:eastAsia="Times New Roman" w:hAnsiTheme="majorBidi" w:cstheme="majorBidi"/>
          <w:b/>
          <w:bCs/>
          <w:sz w:val="28"/>
          <w:szCs w:val="28"/>
          <w:rtl/>
          <w:lang w:eastAsia="fr-FR"/>
        </w:rPr>
        <w:t>ما</w:t>
      </w:r>
      <w:proofErr w:type="gramEnd"/>
      <w:r w:rsidRPr="00517B67">
        <w:rPr>
          <w:rFonts w:asciiTheme="majorBidi" w:eastAsia="Times New Roman" w:hAnsiTheme="majorBidi" w:cstheme="majorBidi"/>
          <w:b/>
          <w:bCs/>
          <w:sz w:val="28"/>
          <w:szCs w:val="28"/>
          <w:rtl/>
          <w:lang w:eastAsia="fr-FR"/>
        </w:rPr>
        <w:t xml:space="preserve"> يجعل البرهان برهاناً منتجاً لليقين، ليس الشكل إذ كل قياس قابل ليفرغ في شكل برهاني ومع ذلك لا ينتج يقيناً. يعدّ المناطقة أنفسهم أشكالاً برهانية غير منتجة كثيرة. غير منتجة بالنسبة لأي شيء؟ لزم </w:t>
      </w:r>
      <w:proofErr w:type="spellStart"/>
      <w:r w:rsidRPr="00517B67">
        <w:rPr>
          <w:rFonts w:asciiTheme="majorBidi" w:eastAsia="Times New Roman" w:hAnsiTheme="majorBidi" w:cstheme="majorBidi"/>
          <w:b/>
          <w:bCs/>
          <w:sz w:val="28"/>
          <w:szCs w:val="28"/>
          <w:rtl/>
          <w:lang w:eastAsia="fr-FR"/>
        </w:rPr>
        <w:t>اذن</w:t>
      </w:r>
      <w:proofErr w:type="spellEnd"/>
      <w:r w:rsidRPr="00517B67">
        <w:rPr>
          <w:rFonts w:asciiTheme="majorBidi" w:eastAsia="Times New Roman" w:hAnsiTheme="majorBidi" w:cstheme="majorBidi"/>
          <w:b/>
          <w:bCs/>
          <w:sz w:val="28"/>
          <w:szCs w:val="28"/>
          <w:rtl/>
          <w:lang w:eastAsia="fr-FR"/>
        </w:rPr>
        <w:t xml:space="preserve"> النظر في مادة البرهان، فأدّى ذلك النظر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التمييز بين الأنواع التي يتجسد فيها الشكل البرهاني. والأنواع هي تلك المتعلقة بالمقادير الخاصة بعالم </w:t>
      </w:r>
      <w:r w:rsidRPr="00517B67">
        <w:rPr>
          <w:rFonts w:asciiTheme="majorBidi" w:eastAsia="Times New Roman" w:hAnsiTheme="majorBidi" w:cstheme="majorBidi"/>
          <w:b/>
          <w:bCs/>
          <w:sz w:val="28"/>
          <w:szCs w:val="28"/>
          <w:rtl/>
          <w:lang w:eastAsia="fr-FR"/>
        </w:rPr>
        <w:lastRenderedPageBreak/>
        <w:t xml:space="preserve">الرياضيات، وتلك </w:t>
      </w:r>
      <w:proofErr w:type="spellStart"/>
      <w:r w:rsidRPr="00517B67">
        <w:rPr>
          <w:rFonts w:asciiTheme="majorBidi" w:eastAsia="Times New Roman" w:hAnsiTheme="majorBidi" w:cstheme="majorBidi"/>
          <w:b/>
          <w:bCs/>
          <w:sz w:val="28"/>
          <w:szCs w:val="28"/>
          <w:rtl/>
          <w:lang w:eastAsia="fr-FR"/>
        </w:rPr>
        <w:t>التمعلقة</w:t>
      </w:r>
      <w:proofErr w:type="spellEnd"/>
      <w:r w:rsidRPr="00517B67">
        <w:rPr>
          <w:rFonts w:asciiTheme="majorBidi" w:eastAsia="Times New Roman" w:hAnsiTheme="majorBidi" w:cstheme="majorBidi"/>
          <w:b/>
          <w:bCs/>
          <w:sz w:val="28"/>
          <w:szCs w:val="28"/>
          <w:rtl/>
          <w:lang w:eastAsia="fr-FR"/>
        </w:rPr>
        <w:t xml:space="preserve"> بصفات واجب الوجود، وتلك المتعلقة </w:t>
      </w:r>
      <w:proofErr w:type="spellStart"/>
      <w:r w:rsidRPr="00517B67">
        <w:rPr>
          <w:rFonts w:asciiTheme="majorBidi" w:eastAsia="Times New Roman" w:hAnsiTheme="majorBidi" w:cstheme="majorBidi"/>
          <w:b/>
          <w:bCs/>
          <w:sz w:val="28"/>
          <w:szCs w:val="28"/>
          <w:rtl/>
          <w:lang w:eastAsia="fr-FR"/>
        </w:rPr>
        <w:t>بالاعراض</w:t>
      </w:r>
      <w:proofErr w:type="spellEnd"/>
      <w:r w:rsidRPr="00517B67">
        <w:rPr>
          <w:rFonts w:asciiTheme="majorBidi" w:eastAsia="Times New Roman" w:hAnsiTheme="majorBidi" w:cstheme="majorBidi"/>
          <w:b/>
          <w:bCs/>
          <w:sz w:val="28"/>
          <w:szCs w:val="28"/>
          <w:rtl/>
          <w:lang w:eastAsia="fr-FR"/>
        </w:rPr>
        <w:t xml:space="preserve">. وعند التدرج من مستوى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آخر تختلف الميزة التي تجعل من البرهان برهاناً.</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t xml:space="preserve">يشرح ابن سينا بوضوح برهان اللمّ، وبرهان الأن الأول له أساس (علة) في الخارج فيقنع العقل، والثاني له أساس في النفس فقط هو سبب التصديق، ويختم قائلاً: أن </w:t>
      </w:r>
      <w:proofErr w:type="spellStart"/>
      <w:r w:rsidRPr="00517B67">
        <w:rPr>
          <w:rFonts w:asciiTheme="majorBidi" w:eastAsia="Times New Roman" w:hAnsiTheme="majorBidi" w:cstheme="majorBidi"/>
          <w:b/>
          <w:bCs/>
          <w:sz w:val="28"/>
          <w:szCs w:val="28"/>
          <w:rtl/>
          <w:lang w:eastAsia="fr-FR"/>
        </w:rPr>
        <w:t>اللمية</w:t>
      </w:r>
      <w:proofErr w:type="spellEnd"/>
      <w:r w:rsidRPr="00517B67">
        <w:rPr>
          <w:rFonts w:asciiTheme="majorBidi" w:eastAsia="Times New Roman" w:hAnsiTheme="majorBidi" w:cstheme="majorBidi"/>
          <w:b/>
          <w:bCs/>
          <w:sz w:val="28"/>
          <w:szCs w:val="28"/>
          <w:rtl/>
          <w:lang w:eastAsia="fr-FR"/>
        </w:rPr>
        <w:t xml:space="preserve"> هي العلة والأنية هي الثبوت. يعني البرهان هنا القياس الثلاثي. يبدو </w:t>
      </w:r>
      <w:proofErr w:type="spellStart"/>
      <w:r w:rsidRPr="00517B67">
        <w:rPr>
          <w:rFonts w:asciiTheme="majorBidi" w:eastAsia="Times New Roman" w:hAnsiTheme="majorBidi" w:cstheme="majorBidi"/>
          <w:b/>
          <w:bCs/>
          <w:sz w:val="28"/>
          <w:szCs w:val="28"/>
          <w:rtl/>
          <w:lang w:eastAsia="fr-FR"/>
        </w:rPr>
        <w:t>اذن</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الشكل واحد وأن كلا البرهانين يبعث اليقين في النفس، لكن الأول ينطبق على قسم من الوجود </w:t>
      </w:r>
      <w:proofErr w:type="spellStart"/>
      <w:r w:rsidRPr="00517B67">
        <w:rPr>
          <w:rFonts w:asciiTheme="majorBidi" w:eastAsia="Times New Roman" w:hAnsiTheme="majorBidi" w:cstheme="majorBidi"/>
          <w:b/>
          <w:bCs/>
          <w:sz w:val="28"/>
          <w:szCs w:val="28"/>
          <w:rtl/>
          <w:lang w:eastAsia="fr-FR"/>
        </w:rPr>
        <w:t>الخارجى</w:t>
      </w:r>
      <w:proofErr w:type="spellEnd"/>
      <w:r w:rsidRPr="00517B67">
        <w:rPr>
          <w:rFonts w:asciiTheme="majorBidi" w:eastAsia="Times New Roman" w:hAnsiTheme="majorBidi" w:cstheme="majorBidi"/>
          <w:b/>
          <w:bCs/>
          <w:sz w:val="28"/>
          <w:szCs w:val="28"/>
          <w:rtl/>
          <w:lang w:eastAsia="fr-FR"/>
        </w:rPr>
        <w:t xml:space="preserve"> وجود العينات الملموسة، فإنه يحتمل الجواب على السؤال (لِمَ) وبذلك ينتمي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نوع، والآخر ينطبق فقط على التصورات، بلا سند في الخارج، فيتحمل فقط تقرير (أن) وينتمي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نوع مخالف. قد نعتقد، حسب هذا الشرح، أن البرهان اللمّي هو المتعلق بعالم المادة، فتكون العلّة قوة مادية محسوسة، والبرهان الأنّي هو الخاص بالتصديقات، فيكون الدافع هنا نفسانياً صرفاً، لكن هذا التأويل </w:t>
      </w:r>
      <w:proofErr w:type="spellStart"/>
      <w:r w:rsidRPr="00517B67">
        <w:rPr>
          <w:rFonts w:asciiTheme="majorBidi" w:eastAsia="Times New Roman" w:hAnsiTheme="majorBidi" w:cstheme="majorBidi"/>
          <w:b/>
          <w:bCs/>
          <w:sz w:val="28"/>
          <w:szCs w:val="28"/>
          <w:rtl/>
          <w:lang w:eastAsia="fr-FR"/>
        </w:rPr>
        <w:t>لايلبث</w:t>
      </w:r>
      <w:proofErr w:type="spellEnd"/>
      <w:r w:rsidRPr="00517B67">
        <w:rPr>
          <w:rFonts w:asciiTheme="majorBidi" w:eastAsia="Times New Roman" w:hAnsiTheme="majorBidi" w:cstheme="majorBidi"/>
          <w:b/>
          <w:bCs/>
          <w:sz w:val="28"/>
          <w:szCs w:val="28"/>
          <w:rtl/>
          <w:lang w:eastAsia="fr-FR"/>
        </w:rPr>
        <w:t xml:space="preserve"> أن يتصادم مع الاتجاه العام لفلسفة ابن سينا، الأقرب إلى الصحة هو أن الخارج هنا </w:t>
      </w:r>
      <w:proofErr w:type="spellStart"/>
      <w:r w:rsidRPr="00517B67">
        <w:rPr>
          <w:rFonts w:asciiTheme="majorBidi" w:eastAsia="Times New Roman" w:hAnsiTheme="majorBidi" w:cstheme="majorBidi"/>
          <w:b/>
          <w:bCs/>
          <w:sz w:val="28"/>
          <w:szCs w:val="28"/>
          <w:rtl/>
          <w:lang w:eastAsia="fr-FR"/>
        </w:rPr>
        <w:t>لايعني</w:t>
      </w:r>
      <w:proofErr w:type="spellEnd"/>
      <w:r w:rsidRPr="00517B67">
        <w:rPr>
          <w:rFonts w:asciiTheme="majorBidi" w:eastAsia="Times New Roman" w:hAnsiTheme="majorBidi" w:cstheme="majorBidi"/>
          <w:b/>
          <w:bCs/>
          <w:sz w:val="28"/>
          <w:szCs w:val="28"/>
          <w:rtl/>
          <w:lang w:eastAsia="fr-FR"/>
        </w:rPr>
        <w:t xml:space="preserve"> العالم المادي بل العلوي، وأن البرهان اللمّي هو في الحقيقة والعمق استنباطي تحليلي. </w:t>
      </w:r>
      <w:proofErr w:type="gramStart"/>
      <w:r w:rsidRPr="00517B67">
        <w:rPr>
          <w:rFonts w:asciiTheme="majorBidi" w:eastAsia="Times New Roman" w:hAnsiTheme="majorBidi" w:cstheme="majorBidi"/>
          <w:b/>
          <w:bCs/>
          <w:sz w:val="28"/>
          <w:szCs w:val="28"/>
          <w:rtl/>
          <w:lang w:eastAsia="fr-FR"/>
        </w:rPr>
        <w:t>الأفضل</w:t>
      </w:r>
      <w:proofErr w:type="gramEnd"/>
      <w:r w:rsidRPr="00517B67">
        <w:rPr>
          <w:rFonts w:asciiTheme="majorBidi" w:eastAsia="Times New Roman" w:hAnsiTheme="majorBidi" w:cstheme="majorBidi"/>
          <w:b/>
          <w:bCs/>
          <w:sz w:val="28"/>
          <w:szCs w:val="28"/>
          <w:rtl/>
          <w:lang w:eastAsia="fr-FR"/>
        </w:rPr>
        <w:t xml:space="preserve"> والأسلم أن نربطه بعالم المُثل الذي هو أوسع وأعم من عالم الرياضيات _في مثل هذا العالم الوجود واجبٌ ضروري، وكل مشابهة أو مساواة هي معادلة بالمعنى الكامل. ولهذا السبب ينحل القياس في البرهان كما تذوب الأنّية في </w:t>
      </w:r>
      <w:proofErr w:type="spellStart"/>
      <w:r w:rsidRPr="00517B67">
        <w:rPr>
          <w:rFonts w:asciiTheme="majorBidi" w:eastAsia="Times New Roman" w:hAnsiTheme="majorBidi" w:cstheme="majorBidi"/>
          <w:b/>
          <w:bCs/>
          <w:sz w:val="28"/>
          <w:szCs w:val="28"/>
          <w:rtl/>
          <w:lang w:eastAsia="fr-FR"/>
        </w:rPr>
        <w:t>اللّمية</w:t>
      </w:r>
      <w:proofErr w:type="spellEnd"/>
      <w:r w:rsidRPr="00517B67">
        <w:rPr>
          <w:rFonts w:asciiTheme="majorBidi" w:eastAsia="Times New Roman" w:hAnsiTheme="majorBidi" w:cstheme="majorBidi"/>
          <w:b/>
          <w:bCs/>
          <w:sz w:val="28"/>
          <w:szCs w:val="28"/>
          <w:rtl/>
          <w:lang w:eastAsia="fr-FR"/>
        </w:rPr>
        <w:t>.</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proofErr w:type="spellStart"/>
      <w:r w:rsidRPr="00517B67">
        <w:rPr>
          <w:rFonts w:asciiTheme="majorBidi" w:eastAsia="Times New Roman" w:hAnsiTheme="majorBidi" w:cstheme="majorBidi"/>
          <w:b/>
          <w:bCs/>
          <w:sz w:val="28"/>
          <w:szCs w:val="28"/>
          <w:rtl/>
          <w:lang w:eastAsia="fr-FR"/>
        </w:rPr>
        <w:t>يواجهنا</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سؤآل</w:t>
      </w:r>
      <w:proofErr w:type="spellEnd"/>
      <w:r w:rsidRPr="00517B67">
        <w:rPr>
          <w:rFonts w:asciiTheme="majorBidi" w:eastAsia="Times New Roman" w:hAnsiTheme="majorBidi" w:cstheme="majorBidi"/>
          <w:b/>
          <w:bCs/>
          <w:sz w:val="28"/>
          <w:szCs w:val="28"/>
          <w:rtl/>
          <w:lang w:eastAsia="fr-FR"/>
        </w:rPr>
        <w:t xml:space="preserve">: هل تعميم البرهان الرياضي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برهان مثالي (خاص بعالم المُثُل)، برهان واجب الوجود، وتخصيص القياس الذي يولد الظن فقط، إلى عالم المجسدات، مانع أم لا من التدقيق في منطق الرياضي وتطوير الرياضيات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ما سوى المعادلات؟ </w:t>
      </w:r>
      <w:proofErr w:type="spellStart"/>
      <w:r w:rsidRPr="00517B67">
        <w:rPr>
          <w:rFonts w:asciiTheme="majorBidi" w:eastAsia="Times New Roman" w:hAnsiTheme="majorBidi" w:cstheme="majorBidi"/>
          <w:b/>
          <w:bCs/>
          <w:sz w:val="28"/>
          <w:szCs w:val="28"/>
          <w:rtl/>
          <w:lang w:eastAsia="fr-FR"/>
        </w:rPr>
        <w:t>لايكفي</w:t>
      </w:r>
      <w:proofErr w:type="spellEnd"/>
      <w:r w:rsidRPr="00517B67">
        <w:rPr>
          <w:rFonts w:asciiTheme="majorBidi" w:eastAsia="Times New Roman" w:hAnsiTheme="majorBidi" w:cstheme="majorBidi"/>
          <w:b/>
          <w:bCs/>
          <w:sz w:val="28"/>
          <w:szCs w:val="28"/>
          <w:rtl/>
          <w:lang w:eastAsia="fr-FR"/>
        </w:rPr>
        <w:t xml:space="preserve"> أن نقول إن ابن رشد </w:t>
      </w:r>
      <w:proofErr w:type="spellStart"/>
      <w:r w:rsidRPr="00517B67">
        <w:rPr>
          <w:rFonts w:asciiTheme="majorBidi" w:eastAsia="Times New Roman" w:hAnsiTheme="majorBidi" w:cstheme="majorBidi"/>
          <w:b/>
          <w:bCs/>
          <w:sz w:val="28"/>
          <w:szCs w:val="28"/>
          <w:rtl/>
          <w:lang w:eastAsia="fr-FR"/>
        </w:rPr>
        <w:t>لايشارك</w:t>
      </w:r>
      <w:proofErr w:type="spellEnd"/>
      <w:r w:rsidRPr="00517B67">
        <w:rPr>
          <w:rFonts w:asciiTheme="majorBidi" w:eastAsia="Times New Roman" w:hAnsiTheme="majorBidi" w:cstheme="majorBidi"/>
          <w:b/>
          <w:bCs/>
          <w:sz w:val="28"/>
          <w:szCs w:val="28"/>
          <w:rtl/>
          <w:lang w:eastAsia="fr-FR"/>
        </w:rPr>
        <w:t xml:space="preserve"> في إشراقية ابن سينا. </w:t>
      </w:r>
      <w:proofErr w:type="gramStart"/>
      <w:r w:rsidRPr="00517B67">
        <w:rPr>
          <w:rFonts w:asciiTheme="majorBidi" w:eastAsia="Times New Roman" w:hAnsiTheme="majorBidi" w:cstheme="majorBidi"/>
          <w:b/>
          <w:bCs/>
          <w:sz w:val="28"/>
          <w:szCs w:val="28"/>
          <w:rtl/>
          <w:lang w:eastAsia="fr-FR"/>
        </w:rPr>
        <w:t>يجب</w:t>
      </w:r>
      <w:proofErr w:type="gramEnd"/>
      <w:r w:rsidRPr="00517B67">
        <w:rPr>
          <w:rFonts w:asciiTheme="majorBidi" w:eastAsia="Times New Roman" w:hAnsiTheme="majorBidi" w:cstheme="majorBidi"/>
          <w:b/>
          <w:bCs/>
          <w:sz w:val="28"/>
          <w:szCs w:val="28"/>
          <w:rtl/>
          <w:lang w:eastAsia="fr-FR"/>
        </w:rPr>
        <w:t xml:space="preserve"> علاوة على هذا إثبات أن تأويل ابن رشد للبرهان، ذلك التأويل الذي ورثه عنه كل علماء الأندلس وضمنهم ابن خلدون، يضمن الانفتاح على عالم استغلق على ابن سينا.</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lastRenderedPageBreak/>
        <w:t xml:space="preserve">معلوم أن ابن حزم اعتمد على نظرية البرهان لنقد القياس بكل أشكاله وأنواعه، على اعتبار أن القياس </w:t>
      </w:r>
      <w:proofErr w:type="spellStart"/>
      <w:r w:rsidRPr="00517B67">
        <w:rPr>
          <w:rFonts w:asciiTheme="majorBidi" w:eastAsia="Times New Roman" w:hAnsiTheme="majorBidi" w:cstheme="majorBidi"/>
          <w:b/>
          <w:bCs/>
          <w:sz w:val="28"/>
          <w:szCs w:val="28"/>
          <w:rtl/>
          <w:lang w:eastAsia="fr-FR"/>
        </w:rPr>
        <w:t>لايفيد</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الا</w:t>
      </w:r>
      <w:proofErr w:type="spellEnd"/>
      <w:r w:rsidRPr="00517B67">
        <w:rPr>
          <w:rFonts w:asciiTheme="majorBidi" w:eastAsia="Times New Roman" w:hAnsiTheme="majorBidi" w:cstheme="majorBidi"/>
          <w:b/>
          <w:bCs/>
          <w:sz w:val="28"/>
          <w:szCs w:val="28"/>
          <w:rtl/>
          <w:lang w:eastAsia="fr-FR"/>
        </w:rPr>
        <w:t xml:space="preserve"> الظن وأن الظن </w:t>
      </w:r>
      <w:proofErr w:type="spellStart"/>
      <w:r w:rsidRPr="00517B67">
        <w:rPr>
          <w:rFonts w:asciiTheme="majorBidi" w:eastAsia="Times New Roman" w:hAnsiTheme="majorBidi" w:cstheme="majorBidi"/>
          <w:b/>
          <w:bCs/>
          <w:sz w:val="28"/>
          <w:szCs w:val="28"/>
          <w:rtl/>
          <w:lang w:eastAsia="fr-FR"/>
        </w:rPr>
        <w:t>لايغني</w:t>
      </w:r>
      <w:proofErr w:type="spellEnd"/>
      <w:r w:rsidRPr="00517B67">
        <w:rPr>
          <w:rFonts w:asciiTheme="majorBidi" w:eastAsia="Times New Roman" w:hAnsiTheme="majorBidi" w:cstheme="majorBidi"/>
          <w:b/>
          <w:bCs/>
          <w:sz w:val="28"/>
          <w:szCs w:val="28"/>
          <w:rtl/>
          <w:lang w:eastAsia="fr-FR"/>
        </w:rPr>
        <w:t xml:space="preserve"> من الحق شيئاً، وهكذا يسبح في نفس الفضاء مع الفلاسفة، </w:t>
      </w:r>
      <w:proofErr w:type="spellStart"/>
      <w:r w:rsidRPr="00517B67">
        <w:rPr>
          <w:rFonts w:asciiTheme="majorBidi" w:eastAsia="Times New Roman" w:hAnsiTheme="majorBidi" w:cstheme="majorBidi"/>
          <w:b/>
          <w:bCs/>
          <w:sz w:val="28"/>
          <w:szCs w:val="28"/>
          <w:rtl/>
          <w:lang w:eastAsia="fr-FR"/>
        </w:rPr>
        <w:t>الا</w:t>
      </w:r>
      <w:proofErr w:type="spellEnd"/>
      <w:r w:rsidRPr="00517B67">
        <w:rPr>
          <w:rFonts w:asciiTheme="majorBidi" w:eastAsia="Times New Roman" w:hAnsiTheme="majorBidi" w:cstheme="majorBidi"/>
          <w:b/>
          <w:bCs/>
          <w:sz w:val="28"/>
          <w:szCs w:val="28"/>
          <w:rtl/>
          <w:lang w:eastAsia="fr-FR"/>
        </w:rPr>
        <w:t xml:space="preserve"> أنه يذهب أبعد منهم إذ يقول لهم: مجال البرهان هو القواعد العاّمة المستقلة بنفسها غير المرتبطة بالجزئيات إذا استغنينا عن الاستقراء. لا سبيل إذن للانحدار من عالم القواعد العاّمة إلى الخاصيات والعينات إلا بالخبر. وهذا الخبر اللازم لنا في حياتنا العملية </w:t>
      </w:r>
      <w:proofErr w:type="gramStart"/>
      <w:r w:rsidRPr="00517B67">
        <w:rPr>
          <w:rFonts w:asciiTheme="majorBidi" w:eastAsia="Times New Roman" w:hAnsiTheme="majorBidi" w:cstheme="majorBidi"/>
          <w:b/>
          <w:bCs/>
          <w:sz w:val="28"/>
          <w:szCs w:val="28"/>
          <w:rtl/>
          <w:lang w:eastAsia="fr-FR"/>
        </w:rPr>
        <w:t>اليومية</w:t>
      </w:r>
      <w:proofErr w:type="gramEnd"/>
      <w:r w:rsidRPr="00517B67">
        <w:rPr>
          <w:rFonts w:asciiTheme="majorBidi" w:eastAsia="Times New Roman" w:hAnsiTheme="majorBidi" w:cstheme="majorBidi"/>
          <w:b/>
          <w:bCs/>
          <w:sz w:val="28"/>
          <w:szCs w:val="28"/>
          <w:rtl/>
          <w:lang w:eastAsia="fr-FR"/>
        </w:rPr>
        <w:t xml:space="preserve"> متاح لنا. فهو المضمن في الرسالة، في التنزيل بالمعنى اللغوي للكلمة وكذلك المعنى الفقهي، ويجب </w:t>
      </w:r>
      <w:proofErr w:type="gramStart"/>
      <w:r w:rsidRPr="00517B67">
        <w:rPr>
          <w:rFonts w:asciiTheme="majorBidi" w:eastAsia="Times New Roman" w:hAnsiTheme="majorBidi" w:cstheme="majorBidi"/>
          <w:b/>
          <w:bCs/>
          <w:sz w:val="28"/>
          <w:szCs w:val="28"/>
          <w:rtl/>
          <w:lang w:eastAsia="fr-FR"/>
        </w:rPr>
        <w:t>أخذه</w:t>
      </w:r>
      <w:proofErr w:type="gramEnd"/>
      <w:r w:rsidRPr="00517B67">
        <w:rPr>
          <w:rFonts w:asciiTheme="majorBidi" w:eastAsia="Times New Roman" w:hAnsiTheme="majorBidi" w:cstheme="majorBidi"/>
          <w:b/>
          <w:bCs/>
          <w:sz w:val="28"/>
          <w:szCs w:val="28"/>
          <w:rtl/>
          <w:lang w:eastAsia="fr-FR"/>
        </w:rPr>
        <w:t xml:space="preserve"> على ظاهره. وهكذا نرى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الفهم الصحيح للبرهان هو الذي يقودنا حتماً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التقيد بظاهر الخبر، والدليل على هذه الضرورة أن الفلاسفة أنفسهم ينتهون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الخضوع والانصياع لقول حكيم أو إشارة فلك أو نطق مَلَك.</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proofErr w:type="spellStart"/>
      <w:r w:rsidRPr="00517B67">
        <w:rPr>
          <w:rFonts w:asciiTheme="majorBidi" w:eastAsia="Times New Roman" w:hAnsiTheme="majorBidi" w:cstheme="majorBidi"/>
          <w:b/>
          <w:bCs/>
          <w:sz w:val="28"/>
          <w:szCs w:val="28"/>
          <w:rtl/>
          <w:lang w:eastAsia="fr-FR"/>
        </w:rPr>
        <w:t>ولايختلف</w:t>
      </w:r>
      <w:proofErr w:type="spellEnd"/>
      <w:r w:rsidRPr="00517B67">
        <w:rPr>
          <w:rFonts w:asciiTheme="majorBidi" w:eastAsia="Times New Roman" w:hAnsiTheme="majorBidi" w:cstheme="majorBidi"/>
          <w:b/>
          <w:bCs/>
          <w:sz w:val="28"/>
          <w:szCs w:val="28"/>
          <w:rtl/>
          <w:lang w:eastAsia="fr-FR"/>
        </w:rPr>
        <w:t xml:space="preserve"> موقف ابن تيمية عن موقف ابن حزم مع أنه كان أكثر واقعية منه وأقل تطرفاً. يقول: «لا علم يقيني </w:t>
      </w:r>
      <w:proofErr w:type="spellStart"/>
      <w:r w:rsidRPr="00517B67">
        <w:rPr>
          <w:rFonts w:asciiTheme="majorBidi" w:eastAsia="Times New Roman" w:hAnsiTheme="majorBidi" w:cstheme="majorBidi"/>
          <w:b/>
          <w:bCs/>
          <w:sz w:val="28"/>
          <w:szCs w:val="28"/>
          <w:rtl/>
          <w:lang w:eastAsia="fr-FR"/>
        </w:rPr>
        <w:t>الا</w:t>
      </w:r>
      <w:proofErr w:type="spellEnd"/>
      <w:r w:rsidRPr="00517B67">
        <w:rPr>
          <w:rFonts w:asciiTheme="majorBidi" w:eastAsia="Times New Roman" w:hAnsiTheme="majorBidi" w:cstheme="majorBidi"/>
          <w:b/>
          <w:bCs/>
          <w:sz w:val="28"/>
          <w:szCs w:val="28"/>
          <w:rtl/>
          <w:lang w:eastAsia="fr-FR"/>
        </w:rPr>
        <w:t xml:space="preserve"> بالحس الباطن والظاهر والقياس التمثيلي والقياس الحدود الثلاثة أعياناً جزئية». </w:t>
      </w:r>
      <w:bookmarkStart w:id="0" w:name="_GoBack"/>
      <w:bookmarkEnd w:id="0"/>
      <w:r w:rsidRPr="00517B67">
        <w:rPr>
          <w:rFonts w:asciiTheme="majorBidi" w:eastAsia="Times New Roman" w:hAnsiTheme="majorBidi" w:cstheme="majorBidi"/>
          <w:b/>
          <w:bCs/>
          <w:sz w:val="28"/>
          <w:szCs w:val="28"/>
          <w:rtl/>
          <w:lang w:eastAsia="fr-FR"/>
        </w:rPr>
        <w:t xml:space="preserve">عوض أن يعلي من قيمة البرهان ليتخلص من القياس الذي قد يؤدي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التقول على اللّه كما فعل سلفه الأندلسي، فان ابن تيمية يميز بين أنواع القياسات، </w:t>
      </w:r>
      <w:proofErr w:type="spellStart"/>
      <w:r w:rsidRPr="00517B67">
        <w:rPr>
          <w:rFonts w:asciiTheme="majorBidi" w:eastAsia="Times New Roman" w:hAnsiTheme="majorBidi" w:cstheme="majorBidi"/>
          <w:b/>
          <w:bCs/>
          <w:sz w:val="28"/>
          <w:szCs w:val="28"/>
          <w:rtl/>
          <w:lang w:eastAsia="fr-FR"/>
        </w:rPr>
        <w:t>البرهاية</w:t>
      </w:r>
      <w:proofErr w:type="spellEnd"/>
      <w:r w:rsidRPr="00517B67">
        <w:rPr>
          <w:rFonts w:asciiTheme="majorBidi" w:eastAsia="Times New Roman" w:hAnsiTheme="majorBidi" w:cstheme="majorBidi"/>
          <w:b/>
          <w:bCs/>
          <w:sz w:val="28"/>
          <w:szCs w:val="28"/>
          <w:rtl/>
          <w:lang w:eastAsia="fr-FR"/>
        </w:rPr>
        <w:t xml:space="preserve"> وغيرها، ويقبل ما يخص منها الأعيان والجزئيات دون ما يهم الكليات التي، وان صحت، </w:t>
      </w:r>
      <w:proofErr w:type="spellStart"/>
      <w:r w:rsidRPr="00517B67">
        <w:rPr>
          <w:rFonts w:asciiTheme="majorBidi" w:eastAsia="Times New Roman" w:hAnsiTheme="majorBidi" w:cstheme="majorBidi"/>
          <w:b/>
          <w:bCs/>
          <w:sz w:val="28"/>
          <w:szCs w:val="28"/>
          <w:rtl/>
          <w:lang w:eastAsia="fr-FR"/>
        </w:rPr>
        <w:t>لاتنفع</w:t>
      </w:r>
      <w:proofErr w:type="spellEnd"/>
      <w:r w:rsidRPr="00517B67">
        <w:rPr>
          <w:rFonts w:asciiTheme="majorBidi" w:eastAsia="Times New Roman" w:hAnsiTheme="majorBidi" w:cstheme="majorBidi"/>
          <w:b/>
          <w:bCs/>
          <w:sz w:val="28"/>
          <w:szCs w:val="28"/>
          <w:rtl/>
          <w:lang w:eastAsia="fr-FR"/>
        </w:rPr>
        <w:t xml:space="preserve"> الإنسان الفرد في حياته اليومية. لذا نراه يفضل قياس المماثلة على قياس الانطواء لغموضه، ويمتدح من يقطع القياس تبعاً لخبر مأثور على من يتابعه </w:t>
      </w:r>
      <w:proofErr w:type="spellStart"/>
      <w:r w:rsidRPr="00517B67">
        <w:rPr>
          <w:rFonts w:asciiTheme="majorBidi" w:eastAsia="Times New Roman" w:hAnsiTheme="majorBidi" w:cstheme="majorBidi"/>
          <w:b/>
          <w:bCs/>
          <w:sz w:val="28"/>
          <w:szCs w:val="28"/>
          <w:rtl/>
          <w:lang w:eastAsia="fr-FR"/>
        </w:rPr>
        <w:t>بناءاً</w:t>
      </w:r>
      <w:proofErr w:type="spellEnd"/>
      <w:r w:rsidRPr="00517B67">
        <w:rPr>
          <w:rFonts w:asciiTheme="majorBidi" w:eastAsia="Times New Roman" w:hAnsiTheme="majorBidi" w:cstheme="majorBidi"/>
          <w:b/>
          <w:bCs/>
          <w:sz w:val="28"/>
          <w:szCs w:val="28"/>
          <w:rtl/>
          <w:lang w:eastAsia="fr-FR"/>
        </w:rPr>
        <w:t xml:space="preserve"> على خبر مدخول. فاعتراضه الأساسي على البرهان، وعلى المنطق عامّة، هو: «أنه </w:t>
      </w:r>
      <w:proofErr w:type="spellStart"/>
      <w:r w:rsidRPr="00517B67">
        <w:rPr>
          <w:rFonts w:asciiTheme="majorBidi" w:eastAsia="Times New Roman" w:hAnsiTheme="majorBidi" w:cstheme="majorBidi"/>
          <w:b/>
          <w:bCs/>
          <w:sz w:val="28"/>
          <w:szCs w:val="28"/>
          <w:rtl/>
          <w:lang w:eastAsia="fr-FR"/>
        </w:rPr>
        <w:t>لايفيد</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الا</w:t>
      </w:r>
      <w:proofErr w:type="spellEnd"/>
      <w:r w:rsidRPr="00517B67">
        <w:rPr>
          <w:rFonts w:asciiTheme="majorBidi" w:eastAsia="Times New Roman" w:hAnsiTheme="majorBidi" w:cstheme="majorBidi"/>
          <w:b/>
          <w:bCs/>
          <w:sz w:val="28"/>
          <w:szCs w:val="28"/>
          <w:rtl/>
          <w:lang w:eastAsia="fr-FR"/>
        </w:rPr>
        <w:t xml:space="preserve"> أموراً كلية مقدرة في الذهن ولا يفيد العلم بشيء موجود محقق في الخارج عكس ما </w:t>
      </w:r>
      <w:proofErr w:type="spellStart"/>
      <w:r w:rsidRPr="00517B67">
        <w:rPr>
          <w:rFonts w:asciiTheme="majorBidi" w:eastAsia="Times New Roman" w:hAnsiTheme="majorBidi" w:cstheme="majorBidi"/>
          <w:b/>
          <w:bCs/>
          <w:sz w:val="28"/>
          <w:szCs w:val="28"/>
          <w:rtl/>
          <w:lang w:eastAsia="fr-FR"/>
        </w:rPr>
        <w:t>قلناه</w:t>
      </w:r>
      <w:proofErr w:type="spellEnd"/>
      <w:r w:rsidRPr="00517B67">
        <w:rPr>
          <w:rFonts w:asciiTheme="majorBidi" w:eastAsia="Times New Roman" w:hAnsiTheme="majorBidi" w:cstheme="majorBidi"/>
          <w:b/>
          <w:bCs/>
          <w:sz w:val="28"/>
          <w:szCs w:val="28"/>
          <w:rtl/>
          <w:lang w:eastAsia="fr-FR"/>
        </w:rPr>
        <w:t xml:space="preserve"> في حق ابن سينا، الخارج هنا يعني بوضوح العالم المادّي، عالم البشر. فالأمور العملية </w:t>
      </w:r>
      <w:proofErr w:type="spellStart"/>
      <w:r w:rsidRPr="00517B67">
        <w:rPr>
          <w:rFonts w:asciiTheme="majorBidi" w:eastAsia="Times New Roman" w:hAnsiTheme="majorBidi" w:cstheme="majorBidi"/>
          <w:b/>
          <w:bCs/>
          <w:sz w:val="28"/>
          <w:szCs w:val="28"/>
          <w:rtl/>
          <w:lang w:eastAsia="fr-FR"/>
        </w:rPr>
        <w:t>لاتحتاج</w:t>
      </w:r>
      <w:proofErr w:type="spellEnd"/>
      <w:r w:rsidRPr="00517B67">
        <w:rPr>
          <w:rFonts w:asciiTheme="majorBidi" w:eastAsia="Times New Roman" w:hAnsiTheme="majorBidi" w:cstheme="majorBidi"/>
          <w:b/>
          <w:bCs/>
          <w:sz w:val="28"/>
          <w:szCs w:val="28"/>
          <w:rtl/>
          <w:lang w:eastAsia="fr-FR"/>
        </w:rPr>
        <w:t xml:space="preserve"> إلى حكم كلّي، بل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قياس واضح، بيّن للجميع. يقول: «صورة القياس فطرية </w:t>
      </w:r>
      <w:proofErr w:type="spellStart"/>
      <w:r w:rsidRPr="00517B67">
        <w:rPr>
          <w:rFonts w:asciiTheme="majorBidi" w:eastAsia="Times New Roman" w:hAnsiTheme="majorBidi" w:cstheme="majorBidi"/>
          <w:b/>
          <w:bCs/>
          <w:sz w:val="28"/>
          <w:szCs w:val="28"/>
          <w:rtl/>
          <w:lang w:eastAsia="fr-FR"/>
        </w:rPr>
        <w:t>لاتحتاج</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تعلّم» يوافق ابن تيمية على أن البرهان الأرسطي غير القياس في عرف </w:t>
      </w:r>
      <w:proofErr w:type="spellStart"/>
      <w:r w:rsidRPr="00517B67">
        <w:rPr>
          <w:rFonts w:asciiTheme="majorBidi" w:eastAsia="Times New Roman" w:hAnsiTheme="majorBidi" w:cstheme="majorBidi"/>
          <w:b/>
          <w:bCs/>
          <w:sz w:val="28"/>
          <w:szCs w:val="28"/>
          <w:rtl/>
          <w:lang w:eastAsia="fr-FR"/>
        </w:rPr>
        <w:t>المسليمن</w:t>
      </w:r>
      <w:proofErr w:type="spellEnd"/>
      <w:r w:rsidRPr="00517B67">
        <w:rPr>
          <w:rFonts w:asciiTheme="majorBidi" w:eastAsia="Times New Roman" w:hAnsiTheme="majorBidi" w:cstheme="majorBidi"/>
          <w:b/>
          <w:bCs/>
          <w:sz w:val="28"/>
          <w:szCs w:val="28"/>
          <w:rtl/>
          <w:lang w:eastAsia="fr-FR"/>
        </w:rPr>
        <w:t xml:space="preserve">، لكن اليقين الذي يؤدي إليه </w:t>
      </w:r>
      <w:proofErr w:type="spellStart"/>
      <w:r w:rsidRPr="00517B67">
        <w:rPr>
          <w:rFonts w:asciiTheme="majorBidi" w:eastAsia="Times New Roman" w:hAnsiTheme="majorBidi" w:cstheme="majorBidi"/>
          <w:b/>
          <w:bCs/>
          <w:sz w:val="28"/>
          <w:szCs w:val="28"/>
          <w:rtl/>
          <w:lang w:eastAsia="fr-FR"/>
        </w:rPr>
        <w:t>لايفيد</w:t>
      </w:r>
      <w:proofErr w:type="spellEnd"/>
      <w:r w:rsidRPr="00517B67">
        <w:rPr>
          <w:rFonts w:asciiTheme="majorBidi" w:eastAsia="Times New Roman" w:hAnsiTheme="majorBidi" w:cstheme="majorBidi"/>
          <w:b/>
          <w:bCs/>
          <w:sz w:val="28"/>
          <w:szCs w:val="28"/>
          <w:rtl/>
          <w:lang w:eastAsia="fr-FR"/>
        </w:rPr>
        <w:t xml:space="preserve"> المرء لا في شؤون دنياه ولا في أمور آخرته. </w:t>
      </w:r>
      <w:proofErr w:type="spellStart"/>
      <w:r w:rsidRPr="00517B67">
        <w:rPr>
          <w:rFonts w:asciiTheme="majorBidi" w:eastAsia="Times New Roman" w:hAnsiTheme="majorBidi" w:cstheme="majorBidi"/>
          <w:b/>
          <w:bCs/>
          <w:sz w:val="28"/>
          <w:szCs w:val="28"/>
          <w:rtl/>
          <w:lang w:eastAsia="fr-FR"/>
        </w:rPr>
        <w:t>لايفيد</w:t>
      </w:r>
      <w:proofErr w:type="spellEnd"/>
      <w:r w:rsidRPr="00517B67">
        <w:rPr>
          <w:rFonts w:asciiTheme="majorBidi" w:eastAsia="Times New Roman" w:hAnsiTheme="majorBidi" w:cstheme="majorBidi"/>
          <w:b/>
          <w:bCs/>
          <w:sz w:val="28"/>
          <w:szCs w:val="28"/>
          <w:rtl/>
          <w:lang w:eastAsia="fr-FR"/>
        </w:rPr>
        <w:t xml:space="preserve"> في الدنيا لأنه </w:t>
      </w:r>
      <w:proofErr w:type="spellStart"/>
      <w:r w:rsidRPr="00517B67">
        <w:rPr>
          <w:rFonts w:asciiTheme="majorBidi" w:eastAsia="Times New Roman" w:hAnsiTheme="majorBidi" w:cstheme="majorBidi"/>
          <w:b/>
          <w:bCs/>
          <w:sz w:val="28"/>
          <w:szCs w:val="28"/>
          <w:rtl/>
          <w:lang w:eastAsia="fr-FR"/>
        </w:rPr>
        <w:t>لايترجم</w:t>
      </w:r>
      <w:proofErr w:type="spellEnd"/>
      <w:r w:rsidRPr="00517B67">
        <w:rPr>
          <w:rFonts w:asciiTheme="majorBidi" w:eastAsia="Times New Roman" w:hAnsiTheme="majorBidi" w:cstheme="majorBidi"/>
          <w:b/>
          <w:bCs/>
          <w:sz w:val="28"/>
          <w:szCs w:val="28"/>
          <w:rtl/>
          <w:lang w:eastAsia="fr-FR"/>
        </w:rPr>
        <w:t xml:space="preserve"> </w:t>
      </w:r>
      <w:proofErr w:type="spellStart"/>
      <w:r w:rsidRPr="00517B67">
        <w:rPr>
          <w:rFonts w:asciiTheme="majorBidi" w:eastAsia="Times New Roman" w:hAnsiTheme="majorBidi" w:cstheme="majorBidi"/>
          <w:b/>
          <w:bCs/>
          <w:sz w:val="28"/>
          <w:szCs w:val="28"/>
          <w:rtl/>
          <w:lang w:eastAsia="fr-FR"/>
        </w:rPr>
        <w:t>الى</w:t>
      </w:r>
      <w:proofErr w:type="spellEnd"/>
      <w:r w:rsidRPr="00517B67">
        <w:rPr>
          <w:rFonts w:asciiTheme="majorBidi" w:eastAsia="Times New Roman" w:hAnsiTheme="majorBidi" w:cstheme="majorBidi"/>
          <w:b/>
          <w:bCs/>
          <w:sz w:val="28"/>
          <w:szCs w:val="28"/>
          <w:rtl/>
          <w:lang w:eastAsia="fr-FR"/>
        </w:rPr>
        <w:t xml:space="preserve"> يقين عن العينيات، فهذه إما محسوسات فتدرك مباشرة بحس الظاهر، وإما معقولات وتدرك بحس الباطن ولا دخل للبرهان في كل هذا. وأما عدم إفادتها في الآخرة فواضح إذ هذه منوطة بأوامر معينة لا دخل للعقل فيها.</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lastRenderedPageBreak/>
        <w:t xml:space="preserve">تلخيصاً نقول </w:t>
      </w:r>
      <w:proofErr w:type="spellStart"/>
      <w:r w:rsidRPr="00517B67">
        <w:rPr>
          <w:rFonts w:asciiTheme="majorBidi" w:eastAsia="Times New Roman" w:hAnsiTheme="majorBidi" w:cstheme="majorBidi"/>
          <w:b/>
          <w:bCs/>
          <w:sz w:val="28"/>
          <w:szCs w:val="28"/>
          <w:rtl/>
          <w:lang w:eastAsia="fr-FR"/>
        </w:rPr>
        <w:t>ان</w:t>
      </w:r>
      <w:proofErr w:type="spellEnd"/>
      <w:r w:rsidRPr="00517B67">
        <w:rPr>
          <w:rFonts w:asciiTheme="majorBidi" w:eastAsia="Times New Roman" w:hAnsiTheme="majorBidi" w:cstheme="majorBidi"/>
          <w:b/>
          <w:bCs/>
          <w:sz w:val="28"/>
          <w:szCs w:val="28"/>
          <w:rtl/>
          <w:lang w:eastAsia="fr-FR"/>
        </w:rPr>
        <w:t xml:space="preserve"> نظرية البرهان عند المسلمين ارتبطت ارتباطاً مباشراً بمفهوم اليقين وارتباطاً عكسياً بمفهوم الخارج، ما نسميه اليوم بالموضع. </w:t>
      </w:r>
      <w:proofErr w:type="gramStart"/>
      <w:r w:rsidRPr="00517B67">
        <w:rPr>
          <w:rFonts w:asciiTheme="majorBidi" w:eastAsia="Times New Roman" w:hAnsiTheme="majorBidi" w:cstheme="majorBidi"/>
          <w:b/>
          <w:bCs/>
          <w:sz w:val="28"/>
          <w:szCs w:val="28"/>
          <w:rtl/>
          <w:lang w:eastAsia="fr-FR"/>
        </w:rPr>
        <w:t>وكلا</w:t>
      </w:r>
      <w:proofErr w:type="gramEnd"/>
      <w:r w:rsidRPr="00517B67">
        <w:rPr>
          <w:rFonts w:asciiTheme="majorBidi" w:eastAsia="Times New Roman" w:hAnsiTheme="majorBidi" w:cstheme="majorBidi"/>
          <w:b/>
          <w:bCs/>
          <w:sz w:val="28"/>
          <w:szCs w:val="28"/>
          <w:rtl/>
          <w:lang w:eastAsia="fr-FR"/>
        </w:rPr>
        <w:t xml:space="preserve"> المفهومين غامض مشترك يتحدد مضمونه بالكيفية التي يفهم بها الموجود. عند أنصار المنطق يؤدّي البرهان إلى اليقين لأنه يتعلق بموجود واجب الوجود. لكن لهذا السبب بالذات يمتنع علم الأعيان: علم خاص بالأعراض، بل يمتنع حتى توسيع الرياضيات إلى ما وراء </w:t>
      </w:r>
      <w:proofErr w:type="spellStart"/>
      <w:r w:rsidRPr="00517B67">
        <w:rPr>
          <w:rFonts w:asciiTheme="majorBidi" w:eastAsia="Times New Roman" w:hAnsiTheme="majorBidi" w:cstheme="majorBidi"/>
          <w:b/>
          <w:bCs/>
          <w:sz w:val="28"/>
          <w:szCs w:val="28"/>
          <w:rtl/>
          <w:lang w:eastAsia="fr-FR"/>
        </w:rPr>
        <w:t>أقليدس</w:t>
      </w:r>
      <w:proofErr w:type="spellEnd"/>
      <w:r w:rsidRPr="00517B67">
        <w:rPr>
          <w:rFonts w:asciiTheme="majorBidi" w:eastAsia="Times New Roman" w:hAnsiTheme="majorBidi" w:cstheme="majorBidi"/>
          <w:b/>
          <w:bCs/>
          <w:sz w:val="28"/>
          <w:szCs w:val="28"/>
          <w:rtl/>
          <w:lang w:eastAsia="fr-FR"/>
        </w:rPr>
        <w:t xml:space="preserve">، أما عند أعداء المنطق، المدققين منهم، فاليقين الذي يتطلع إليه الإنسان هو الخاص بالعينيات والجزئيات، وهذه قد تعرف بالقياس والاستقراء بما يكفي الحياة العملية. </w:t>
      </w:r>
      <w:proofErr w:type="gramStart"/>
      <w:r w:rsidRPr="00517B67">
        <w:rPr>
          <w:rFonts w:asciiTheme="majorBidi" w:eastAsia="Times New Roman" w:hAnsiTheme="majorBidi" w:cstheme="majorBidi"/>
          <w:b/>
          <w:bCs/>
          <w:sz w:val="28"/>
          <w:szCs w:val="28"/>
          <w:rtl/>
          <w:lang w:eastAsia="fr-FR"/>
        </w:rPr>
        <w:t>هذا</w:t>
      </w:r>
      <w:proofErr w:type="gramEnd"/>
      <w:r w:rsidRPr="00517B67">
        <w:rPr>
          <w:rFonts w:asciiTheme="majorBidi" w:eastAsia="Times New Roman" w:hAnsiTheme="majorBidi" w:cstheme="majorBidi"/>
          <w:b/>
          <w:bCs/>
          <w:sz w:val="28"/>
          <w:szCs w:val="28"/>
          <w:rtl/>
          <w:lang w:eastAsia="fr-FR"/>
        </w:rPr>
        <w:t xml:space="preserve"> الموقف المتزن قد ينفتح على علم طبيعي استقرائي، إلا إن ذلك العلم يبقى في مستوى تجارب الصنّاع. </w:t>
      </w:r>
      <w:proofErr w:type="gramStart"/>
      <w:r w:rsidRPr="00517B67">
        <w:rPr>
          <w:rFonts w:asciiTheme="majorBidi" w:eastAsia="Times New Roman" w:hAnsiTheme="majorBidi" w:cstheme="majorBidi"/>
          <w:b/>
          <w:bCs/>
          <w:sz w:val="28"/>
          <w:szCs w:val="28"/>
          <w:rtl/>
          <w:lang w:eastAsia="fr-FR"/>
        </w:rPr>
        <w:t>وكما</w:t>
      </w:r>
      <w:proofErr w:type="gramEnd"/>
      <w:r w:rsidRPr="00517B67">
        <w:rPr>
          <w:rFonts w:asciiTheme="majorBidi" w:eastAsia="Times New Roman" w:hAnsiTheme="majorBidi" w:cstheme="majorBidi"/>
          <w:b/>
          <w:bCs/>
          <w:sz w:val="28"/>
          <w:szCs w:val="28"/>
          <w:rtl/>
          <w:lang w:eastAsia="fr-FR"/>
        </w:rPr>
        <w:t xml:space="preserve"> يحتل أصحب الصنائع مرتبة دنيا في المجتمع فكذلك يكون ذلك العلم التجريبي من الدرجة الثانية. </w:t>
      </w:r>
      <w:proofErr w:type="gramStart"/>
      <w:r w:rsidRPr="00517B67">
        <w:rPr>
          <w:rFonts w:asciiTheme="majorBidi" w:eastAsia="Times New Roman" w:hAnsiTheme="majorBidi" w:cstheme="majorBidi"/>
          <w:b/>
          <w:bCs/>
          <w:sz w:val="28"/>
          <w:szCs w:val="28"/>
          <w:rtl/>
          <w:lang w:eastAsia="fr-FR"/>
        </w:rPr>
        <w:t>العلم</w:t>
      </w:r>
      <w:proofErr w:type="gramEnd"/>
      <w:r w:rsidRPr="00517B67">
        <w:rPr>
          <w:rFonts w:asciiTheme="majorBidi" w:eastAsia="Times New Roman" w:hAnsiTheme="majorBidi" w:cstheme="majorBidi"/>
          <w:b/>
          <w:bCs/>
          <w:sz w:val="28"/>
          <w:szCs w:val="28"/>
          <w:rtl/>
          <w:lang w:eastAsia="fr-FR"/>
        </w:rPr>
        <w:t xml:space="preserve"> اليقيني الوحيد، الذي يحفظه العلماء (بالمعنى المحدود)، والخاص بحقائق الأعيان، هو علم الحديث، لأنه إخبارٌ على تلك الحقائق من لدن مبدعها وخالقها.</w:t>
      </w:r>
    </w:p>
    <w:p w:rsidR="00517B67" w:rsidRPr="00517B67" w:rsidRDefault="00517B67" w:rsidP="00517B67">
      <w:pPr>
        <w:spacing w:after="0" w:line="360" w:lineRule="auto"/>
        <w:jc w:val="both"/>
        <w:rPr>
          <w:rFonts w:asciiTheme="majorBidi" w:eastAsia="Times New Roman" w:hAnsiTheme="majorBidi" w:cstheme="majorBidi"/>
          <w:sz w:val="28"/>
          <w:szCs w:val="28"/>
          <w:rtl/>
          <w:lang w:eastAsia="fr-FR"/>
        </w:rPr>
      </w:pPr>
      <w:r w:rsidRPr="00517B67">
        <w:rPr>
          <w:rFonts w:asciiTheme="majorBidi" w:eastAsia="Times New Roman" w:hAnsiTheme="majorBidi" w:cstheme="majorBidi"/>
          <w:sz w:val="28"/>
          <w:szCs w:val="28"/>
          <w:lang w:eastAsia="fr-FR"/>
        </w:rPr>
        <w:br/>
      </w:r>
    </w:p>
    <w:p w:rsidR="00517B67" w:rsidRPr="00517B67" w:rsidRDefault="00517B67" w:rsidP="00517B67">
      <w:pPr>
        <w:bidi/>
        <w:spacing w:after="0" w:line="360" w:lineRule="auto"/>
        <w:ind w:left="510" w:right="510"/>
        <w:jc w:val="both"/>
        <w:rPr>
          <w:rFonts w:asciiTheme="majorBidi" w:eastAsia="Times New Roman" w:hAnsiTheme="majorBidi" w:cstheme="majorBidi"/>
          <w:sz w:val="28"/>
          <w:szCs w:val="28"/>
          <w:lang w:eastAsia="fr-FR"/>
        </w:rPr>
      </w:pPr>
      <w:r w:rsidRPr="00517B67">
        <w:rPr>
          <w:rFonts w:asciiTheme="majorBidi" w:eastAsia="Times New Roman" w:hAnsiTheme="majorBidi" w:cstheme="majorBidi"/>
          <w:b/>
          <w:bCs/>
          <w:sz w:val="28"/>
          <w:szCs w:val="28"/>
          <w:rtl/>
          <w:lang w:eastAsia="fr-FR"/>
        </w:rPr>
        <w:t xml:space="preserve">لا </w:t>
      </w:r>
      <w:proofErr w:type="gramStart"/>
      <w:r w:rsidRPr="00517B67">
        <w:rPr>
          <w:rFonts w:asciiTheme="majorBidi" w:eastAsia="Times New Roman" w:hAnsiTheme="majorBidi" w:cstheme="majorBidi"/>
          <w:b/>
          <w:bCs/>
          <w:sz w:val="28"/>
          <w:szCs w:val="28"/>
          <w:rtl/>
          <w:lang w:eastAsia="fr-FR"/>
        </w:rPr>
        <w:t>حاجة</w:t>
      </w:r>
      <w:proofErr w:type="gramEnd"/>
      <w:r w:rsidRPr="00517B67">
        <w:rPr>
          <w:rFonts w:asciiTheme="majorBidi" w:eastAsia="Times New Roman" w:hAnsiTheme="majorBidi" w:cstheme="majorBidi"/>
          <w:b/>
          <w:bCs/>
          <w:sz w:val="28"/>
          <w:szCs w:val="28"/>
          <w:rtl/>
          <w:lang w:eastAsia="fr-FR"/>
        </w:rPr>
        <w:t xml:space="preserve"> للقول إن هذا التأويل الثاني هو الذي ملأ الميدان المعرفي لأن الأول نفسه يمده بجداوله.</w:t>
      </w:r>
    </w:p>
    <w:p w:rsidR="003F7C51" w:rsidRPr="00517B67" w:rsidRDefault="003F7C51" w:rsidP="00517B67">
      <w:pPr>
        <w:bidi/>
        <w:spacing w:line="360" w:lineRule="auto"/>
        <w:jc w:val="both"/>
        <w:rPr>
          <w:rFonts w:asciiTheme="majorBidi" w:hAnsiTheme="majorBidi" w:cstheme="majorBidi"/>
          <w:sz w:val="28"/>
          <w:szCs w:val="28"/>
        </w:rPr>
      </w:pPr>
    </w:p>
    <w:sectPr w:rsidR="003F7C51" w:rsidRPr="00517B6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86E" w:rsidRDefault="003B386E" w:rsidP="00517B67">
      <w:pPr>
        <w:spacing w:after="0" w:line="240" w:lineRule="auto"/>
      </w:pPr>
      <w:r>
        <w:separator/>
      </w:r>
    </w:p>
  </w:endnote>
  <w:endnote w:type="continuationSeparator" w:id="0">
    <w:p w:rsidR="003B386E" w:rsidRDefault="003B386E" w:rsidP="00517B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2242796"/>
      <w:docPartObj>
        <w:docPartGallery w:val="Page Numbers (Bottom of Page)"/>
        <w:docPartUnique/>
      </w:docPartObj>
    </w:sdtPr>
    <w:sdtContent>
      <w:p w:rsidR="00517B67" w:rsidRDefault="00517B67">
        <w:pPr>
          <w:pStyle w:val="Pieddepage"/>
          <w:jc w:val="center"/>
        </w:pPr>
        <w:r>
          <w:fldChar w:fldCharType="begin"/>
        </w:r>
        <w:r>
          <w:instrText>PAGE   \* MERGEFORMAT</w:instrText>
        </w:r>
        <w:r>
          <w:fldChar w:fldCharType="separate"/>
        </w:r>
        <w:r w:rsidR="0055780E">
          <w:rPr>
            <w:noProof/>
          </w:rPr>
          <w:t>4</w:t>
        </w:r>
        <w:r>
          <w:fldChar w:fldCharType="end"/>
        </w:r>
      </w:p>
    </w:sdtContent>
  </w:sdt>
  <w:p w:rsidR="00517B67" w:rsidRDefault="00517B6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86E" w:rsidRDefault="003B386E" w:rsidP="00517B67">
      <w:pPr>
        <w:spacing w:after="0" w:line="240" w:lineRule="auto"/>
      </w:pPr>
      <w:r>
        <w:separator/>
      </w:r>
    </w:p>
  </w:footnote>
  <w:footnote w:type="continuationSeparator" w:id="0">
    <w:p w:rsidR="003B386E" w:rsidRDefault="003B386E" w:rsidP="00517B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B67"/>
    <w:rsid w:val="00331C29"/>
    <w:rsid w:val="003B386E"/>
    <w:rsid w:val="003F7C51"/>
    <w:rsid w:val="00517B67"/>
    <w:rsid w:val="0055780E"/>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17B67"/>
    <w:rPr>
      <w:b/>
      <w:bCs/>
    </w:rPr>
  </w:style>
  <w:style w:type="paragraph" w:styleId="En-tte">
    <w:name w:val="header"/>
    <w:basedOn w:val="Normal"/>
    <w:link w:val="En-tteCar"/>
    <w:uiPriority w:val="99"/>
    <w:unhideWhenUsed/>
    <w:rsid w:val="00517B67"/>
    <w:pPr>
      <w:tabs>
        <w:tab w:val="center" w:pos="4153"/>
        <w:tab w:val="right" w:pos="8306"/>
      </w:tabs>
      <w:spacing w:after="0" w:line="240" w:lineRule="auto"/>
    </w:pPr>
  </w:style>
  <w:style w:type="character" w:customStyle="1" w:styleId="En-tteCar">
    <w:name w:val="En-tête Car"/>
    <w:basedOn w:val="Policepardfaut"/>
    <w:link w:val="En-tte"/>
    <w:uiPriority w:val="99"/>
    <w:rsid w:val="00517B67"/>
  </w:style>
  <w:style w:type="paragraph" w:styleId="Pieddepage">
    <w:name w:val="footer"/>
    <w:basedOn w:val="Normal"/>
    <w:link w:val="PieddepageCar"/>
    <w:uiPriority w:val="99"/>
    <w:unhideWhenUsed/>
    <w:rsid w:val="00517B67"/>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17B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17B67"/>
    <w:rPr>
      <w:b/>
      <w:bCs/>
    </w:rPr>
  </w:style>
  <w:style w:type="paragraph" w:styleId="En-tte">
    <w:name w:val="header"/>
    <w:basedOn w:val="Normal"/>
    <w:link w:val="En-tteCar"/>
    <w:uiPriority w:val="99"/>
    <w:unhideWhenUsed/>
    <w:rsid w:val="00517B67"/>
    <w:pPr>
      <w:tabs>
        <w:tab w:val="center" w:pos="4153"/>
        <w:tab w:val="right" w:pos="8306"/>
      </w:tabs>
      <w:spacing w:after="0" w:line="240" w:lineRule="auto"/>
    </w:pPr>
  </w:style>
  <w:style w:type="character" w:customStyle="1" w:styleId="En-tteCar">
    <w:name w:val="En-tête Car"/>
    <w:basedOn w:val="Policepardfaut"/>
    <w:link w:val="En-tte"/>
    <w:uiPriority w:val="99"/>
    <w:rsid w:val="00517B67"/>
  </w:style>
  <w:style w:type="paragraph" w:styleId="Pieddepage">
    <w:name w:val="footer"/>
    <w:basedOn w:val="Normal"/>
    <w:link w:val="PieddepageCar"/>
    <w:uiPriority w:val="99"/>
    <w:unhideWhenUsed/>
    <w:rsid w:val="00517B67"/>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517B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1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1021</Words>
  <Characters>5619</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3</cp:revision>
  <cp:lastPrinted>2013-05-28T09:04:00Z</cp:lastPrinted>
  <dcterms:created xsi:type="dcterms:W3CDTF">2013-05-28T09:02:00Z</dcterms:created>
  <dcterms:modified xsi:type="dcterms:W3CDTF">2013-05-28T09:04:00Z</dcterms:modified>
</cp:coreProperties>
</file>