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D8" w:rsidRDefault="001022D8" w:rsidP="001022D8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1022D8" w:rsidTr="005226F1">
        <w:trPr>
          <w:trHeight w:val="3206"/>
        </w:trPr>
        <w:tc>
          <w:tcPr>
            <w:tcW w:w="8644" w:type="dxa"/>
          </w:tcPr>
          <w:p w:rsidR="001022D8" w:rsidRPr="00384F68" w:rsidRDefault="001022D8" w:rsidP="005226F1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1022D8" w:rsidRDefault="001022D8" w:rsidP="001022D8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(دورة التّدارك)</w:t>
            </w:r>
          </w:p>
          <w:p w:rsidR="001022D8" w:rsidRPr="00384F68" w:rsidRDefault="001022D8" w:rsidP="001022D8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</w:t>
            </w:r>
            <w:proofErr w:type="gramEnd"/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10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  <w:p w:rsidR="001022D8" w:rsidRDefault="001022D8" w:rsidP="005226F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1022D8" w:rsidRPr="00384F68" w:rsidRDefault="001022D8" w:rsidP="005226F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قانون الأموال</w:t>
            </w:r>
          </w:p>
          <w:p w:rsidR="001022D8" w:rsidRPr="00384F68" w:rsidRDefault="001022D8" w:rsidP="001022D8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5226F1" w:rsidRPr="005226F1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16 جوان 2011</w:t>
            </w:r>
          </w:p>
          <w:p w:rsidR="001022D8" w:rsidRPr="00777412" w:rsidRDefault="001022D8" w:rsidP="005226F1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1022D8" w:rsidRDefault="001022D8" w:rsidP="001022D8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1022D8" w:rsidRDefault="001022D8" w:rsidP="001022D8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proofErr w:type="gramStart"/>
      <w:r>
        <w:rPr>
          <w:rFonts w:hint="cs"/>
          <w:b/>
          <w:bCs/>
          <w:sz w:val="28"/>
          <w:rtl/>
          <w:lang w:val="fr-FR" w:bidi="ar-TN"/>
        </w:rPr>
        <w:t>تعليق</w:t>
      </w:r>
      <w:proofErr w:type="gramEnd"/>
      <w:r>
        <w:rPr>
          <w:rFonts w:hint="cs"/>
          <w:b/>
          <w:bCs/>
          <w:sz w:val="28"/>
          <w:rtl/>
          <w:lang w:val="fr-FR" w:bidi="ar-TN"/>
        </w:rPr>
        <w:t xml:space="preserve"> على الفصل 103 من مجلّة الحقوق العينيّة:</w:t>
      </w:r>
    </w:p>
    <w:p w:rsidR="001022D8" w:rsidRDefault="001022D8" w:rsidP="001022D8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1022D8" w:rsidRDefault="001022D8" w:rsidP="001022D8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  <w:r>
        <w:rPr>
          <w:rFonts w:hint="cs"/>
          <w:b/>
          <w:bCs/>
          <w:sz w:val="28"/>
          <w:rtl/>
          <w:lang w:val="fr-FR" w:bidi="ar-TN"/>
        </w:rPr>
        <w:t>"الشّفعة حلول الشّريك محلّ المشتري في التّملّك بمبيع شريكه في الأحوال وبالشّروط المنصوص عليها في الفصول الآتية".</w:t>
      </w:r>
    </w:p>
    <w:p w:rsidR="001022D8" w:rsidRDefault="001022D8" w:rsidP="001022D8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rtl/>
          <w:lang w:val="fr-FR" w:bidi="ar-TN"/>
        </w:rPr>
      </w:pPr>
    </w:p>
    <w:p w:rsidR="001022D8" w:rsidRDefault="001022D8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>Commentaire de l’article 103 du Code des droits réels :</w:t>
      </w:r>
    </w:p>
    <w:p w:rsidR="001022D8" w:rsidRDefault="001022D8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b/>
          <w:bCs/>
          <w:sz w:val="28"/>
          <w:lang w:val="fr-FR" w:bidi="ar-TN"/>
        </w:rPr>
      </w:pPr>
    </w:p>
    <w:p w:rsidR="001022D8" w:rsidRDefault="001022D8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  <w:r>
        <w:rPr>
          <w:b/>
          <w:bCs/>
          <w:sz w:val="28"/>
          <w:lang w:val="fr-FR" w:bidi="ar-TN"/>
        </w:rPr>
        <w:t>« Le retrait est l’acte par lequel un indivisaire se substitue, dans les cas et selon les conditions prévues par les articles suivants, à celui qui a acquis d’un autre indivisaire tout ou partie de sa quote-part ».</w:t>
      </w: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D02A82" w:rsidRDefault="00D02A82" w:rsidP="001022D8">
      <w:pPr>
        <w:pStyle w:val="Paragraphedeliste"/>
        <w:tabs>
          <w:tab w:val="right" w:pos="-1"/>
        </w:tabs>
        <w:spacing w:line="276" w:lineRule="auto"/>
        <w:ind w:left="-1"/>
        <w:jc w:val="both"/>
        <w:rPr>
          <w:rFonts w:hint="cs"/>
          <w:b/>
          <w:bCs/>
          <w:sz w:val="28"/>
          <w:rtl/>
          <w:lang w:val="fr-FR" w:bidi="ar-TN"/>
        </w:rPr>
      </w:pPr>
    </w:p>
    <w:p w:rsidR="00D02A82" w:rsidRPr="00D02A82" w:rsidRDefault="00D02A82" w:rsidP="00D02A82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sz w:val="28"/>
          <w:lang w:val="fr-FR" w:bidi="ar-TN"/>
        </w:rPr>
      </w:pPr>
      <w:r w:rsidRPr="00D02A82">
        <w:rPr>
          <w:rFonts w:hint="cs"/>
          <w:sz w:val="28"/>
          <w:rtl/>
          <w:lang w:val="fr-FR" w:bidi="ar-TN"/>
        </w:rPr>
        <w:t xml:space="preserve">ملاحظة: استعمال المجلاّت </w:t>
      </w:r>
      <w:bookmarkStart w:id="0" w:name="_GoBack"/>
      <w:bookmarkEnd w:id="0"/>
      <w:r w:rsidRPr="00D02A82">
        <w:rPr>
          <w:rFonts w:hint="cs"/>
          <w:sz w:val="28"/>
          <w:rtl/>
          <w:lang w:val="fr-FR" w:bidi="ar-TN"/>
        </w:rPr>
        <w:t>غير مرخّص فيه</w:t>
      </w:r>
    </w:p>
    <w:p w:rsidR="001022D8" w:rsidRPr="00384F68" w:rsidRDefault="001022D8" w:rsidP="001022D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022D8" w:rsidRPr="00384F68" w:rsidRDefault="001022D8" w:rsidP="001022D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022D8" w:rsidRDefault="001022D8" w:rsidP="001022D8">
      <w:pPr>
        <w:bidi/>
      </w:pPr>
    </w:p>
    <w:p w:rsidR="003F7C51" w:rsidRDefault="003F7C51" w:rsidP="001022D8">
      <w:pPr>
        <w:bidi/>
      </w:pPr>
    </w:p>
    <w:sectPr w:rsidR="003F7C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4DA" w:rsidRDefault="002974DA">
      <w:pPr>
        <w:spacing w:before="0" w:after="0" w:line="240" w:lineRule="auto"/>
      </w:pPr>
      <w:r>
        <w:separator/>
      </w:r>
    </w:p>
  </w:endnote>
  <w:endnote w:type="continuationSeparator" w:id="0">
    <w:p w:rsidR="002974DA" w:rsidRDefault="002974D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4DA" w:rsidRDefault="002974DA">
      <w:pPr>
        <w:spacing w:before="0" w:after="0" w:line="240" w:lineRule="auto"/>
      </w:pPr>
      <w:r>
        <w:separator/>
      </w:r>
    </w:p>
  </w:footnote>
  <w:footnote w:type="continuationSeparator" w:id="0">
    <w:p w:rsidR="002974DA" w:rsidRDefault="002974D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5226F1" w:rsidTr="005226F1">
      <w:trPr>
        <w:jc w:val="center"/>
      </w:trPr>
      <w:tc>
        <w:tcPr>
          <w:tcW w:w="4219" w:type="dxa"/>
          <w:vAlign w:val="center"/>
        </w:tcPr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5226F1" w:rsidRPr="001812A0" w:rsidRDefault="005226F1" w:rsidP="005226F1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5226F1" w:rsidRPr="00BD007A" w:rsidRDefault="005226F1" w:rsidP="005226F1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5226F1" w:rsidRPr="00C960B7" w:rsidRDefault="005226F1" w:rsidP="005226F1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7118F02" wp14:editId="47A80376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399A780" wp14:editId="08BBA6FB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5226F1" w:rsidRPr="001812A0" w:rsidRDefault="005226F1" w:rsidP="005226F1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5226F1" w:rsidRPr="00A25354" w:rsidRDefault="005226F1" w:rsidP="005226F1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5226F1" w:rsidRPr="001812A0" w:rsidRDefault="005226F1" w:rsidP="005226F1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5226F1" w:rsidRPr="00BD007A" w:rsidRDefault="005226F1" w:rsidP="005226F1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5226F1" w:rsidRPr="00C332ED" w:rsidRDefault="005226F1" w:rsidP="005226F1">
    <w:pPr>
      <w:pStyle w:val="En-tte"/>
      <w:jc w:val="center"/>
      <w:rPr>
        <w:sz w:val="10"/>
        <w:szCs w:val="10"/>
      </w:rPr>
    </w:pPr>
  </w:p>
  <w:p w:rsidR="005226F1" w:rsidRPr="00657DD6" w:rsidRDefault="005226F1" w:rsidP="005226F1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2D8"/>
    <w:rsid w:val="001022D8"/>
    <w:rsid w:val="002974DA"/>
    <w:rsid w:val="00331C29"/>
    <w:rsid w:val="003F7C51"/>
    <w:rsid w:val="005226F1"/>
    <w:rsid w:val="00B36FE4"/>
    <w:rsid w:val="00C91F82"/>
    <w:rsid w:val="00D0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2D8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022D8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02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022D8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022D8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022D8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1022D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022D8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1022D8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1022D8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02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2D8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022D8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02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022D8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022D8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022D8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1022D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022D8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1022D8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1022D8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02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4</cp:revision>
  <dcterms:created xsi:type="dcterms:W3CDTF">2011-04-29T13:56:00Z</dcterms:created>
  <dcterms:modified xsi:type="dcterms:W3CDTF">2011-06-07T10:32:00Z</dcterms:modified>
</cp:coreProperties>
</file>