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1417"/>
        <w:gridCol w:w="3969"/>
        <w:gridCol w:w="463"/>
        <w:gridCol w:w="1063"/>
      </w:tblGrid>
      <w:tr w:rsidR="00366854" w:rsidRPr="000E5C1F" w:rsidTr="0045401F">
        <w:tc>
          <w:tcPr>
            <w:tcW w:w="8522" w:type="dxa"/>
            <w:gridSpan w:val="5"/>
          </w:tcPr>
          <w:p w:rsidR="00366854" w:rsidRPr="000E5C1F" w:rsidRDefault="00366854" w:rsidP="0036685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محضر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 xml:space="preserve"> إصلاح مقالة</w:t>
            </w:r>
          </w:p>
        </w:tc>
      </w:tr>
      <w:tr w:rsidR="00DE2DBC" w:rsidRPr="000E5C1F" w:rsidTr="00DE2DBC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DE2DBC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DE2DBC" w:rsidRPr="000E5C1F" w:rsidRDefault="00DE2DBC" w:rsidP="00DE2DB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</w:tcPr>
          <w:p w:rsidR="00DE2DBC" w:rsidRPr="000E5C1F" w:rsidRDefault="00DE2DBC" w:rsidP="00DE2DB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DE2DBC" w:rsidRPr="000E5C1F" w:rsidRDefault="00DE2DBC" w:rsidP="00DE2DB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DE2DBC" w:rsidRPr="000E5C1F" w:rsidTr="00366854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تعريف (الخ) (1 </w:t>
            </w: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نقطة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الجدوى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الإشكاليّة وجوابها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DE2DBC">
        <w:trPr>
          <w:trHeight w:val="697"/>
        </w:trPr>
        <w:tc>
          <w:tcPr>
            <w:tcW w:w="8522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الجوهر (12 نقطة)</w:t>
            </w:r>
          </w:p>
        </w:tc>
      </w:tr>
      <w:tr w:rsidR="00DE2DBC" w:rsidRPr="000E5C1F" w:rsidTr="00366854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3"/>
            <w:tcBorders>
              <w:bottom w:val="single" w:sz="2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DE2DBC" w:rsidRPr="000E5C1F" w:rsidTr="00366854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420"/>
        </w:trPr>
        <w:tc>
          <w:tcPr>
            <w:tcW w:w="1610" w:type="dxa"/>
            <w:vMerge/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315"/>
        </w:trPr>
        <w:tc>
          <w:tcPr>
            <w:tcW w:w="1610" w:type="dxa"/>
            <w:vMerge w:val="restart"/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360"/>
        </w:trPr>
        <w:tc>
          <w:tcPr>
            <w:tcW w:w="1610" w:type="dxa"/>
            <w:vMerge/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3"/>
            <w:tcBorders>
              <w:bottom w:val="single" w:sz="6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6" w:space="0" w:color="auto"/>
              <w:bottom w:val="single" w:sz="2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720"/>
        </w:trPr>
        <w:tc>
          <w:tcPr>
            <w:tcW w:w="1610" w:type="dxa"/>
            <w:vMerge/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2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330"/>
        </w:trPr>
        <w:tc>
          <w:tcPr>
            <w:tcW w:w="1610" w:type="dxa"/>
            <w:vMerge w:val="restart"/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rPr>
          <w:trHeight w:val="345"/>
        </w:trPr>
        <w:tc>
          <w:tcPr>
            <w:tcW w:w="1610" w:type="dxa"/>
            <w:vMerge/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FC000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FC000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DE2DBC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DE2DBC">
        <w:tc>
          <w:tcPr>
            <w:tcW w:w="3027" w:type="dxa"/>
            <w:gridSpan w:val="2"/>
          </w:tcPr>
          <w:p w:rsidR="00DE2DBC" w:rsidRPr="000E5C1F" w:rsidRDefault="00DE2DBC" w:rsidP="00DE2DB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2"/>
          </w:tcPr>
          <w:p w:rsidR="00DE2DBC" w:rsidRPr="000E5C1F" w:rsidRDefault="00DE2DBC" w:rsidP="00DE2DB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DE2DBC" w:rsidRPr="000E5C1F" w:rsidTr="00366854">
        <w:tc>
          <w:tcPr>
            <w:tcW w:w="3027" w:type="dxa"/>
            <w:gridSpan w:val="2"/>
            <w:shd w:val="clear" w:color="auto" w:fill="EAF1DD" w:themeFill="accent3" w:themeFillTint="33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432" w:type="dxa"/>
            <w:gridSpan w:val="2"/>
            <w:shd w:val="clear" w:color="auto" w:fill="EAF1DD" w:themeFill="accent3" w:themeFillTint="33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AF1DD" w:themeFill="accent3" w:themeFillTint="33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c>
          <w:tcPr>
            <w:tcW w:w="3027" w:type="dxa"/>
            <w:gridSpan w:val="2"/>
            <w:shd w:val="clear" w:color="auto" w:fill="EAF1DD" w:themeFill="accent3" w:themeFillTint="33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التّقسيم داخل الفقرة الأولى (1 نقطة)</w:t>
            </w:r>
          </w:p>
        </w:tc>
        <w:tc>
          <w:tcPr>
            <w:tcW w:w="4432" w:type="dxa"/>
            <w:gridSpan w:val="2"/>
            <w:shd w:val="clear" w:color="auto" w:fill="EAF1DD" w:themeFill="accent3" w:themeFillTint="33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AF1DD" w:themeFill="accent3" w:themeFillTint="33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366854">
        <w:tc>
          <w:tcPr>
            <w:tcW w:w="3027" w:type="dxa"/>
            <w:gridSpan w:val="2"/>
            <w:shd w:val="clear" w:color="auto" w:fill="EAF1DD" w:themeFill="accent3" w:themeFillTint="33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التقسيم داخل الفقرة الثّانية (1 نقطة)</w:t>
            </w:r>
          </w:p>
        </w:tc>
        <w:tc>
          <w:tcPr>
            <w:tcW w:w="4432" w:type="dxa"/>
            <w:gridSpan w:val="2"/>
            <w:shd w:val="clear" w:color="auto" w:fill="EAF1DD" w:themeFill="accent3" w:themeFillTint="33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AF1DD" w:themeFill="accent3" w:themeFillTint="33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DE2DBC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0E5C1F" w:rsidTr="00DE2DBC">
        <w:trPr>
          <w:trHeight w:val="1467"/>
        </w:trPr>
        <w:tc>
          <w:tcPr>
            <w:tcW w:w="1610" w:type="dxa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ملاحظات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عامّة</w:t>
            </w:r>
          </w:p>
        </w:tc>
        <w:tc>
          <w:tcPr>
            <w:tcW w:w="5386" w:type="dxa"/>
            <w:gridSpan w:val="2"/>
          </w:tcPr>
          <w:p w:rsidR="00DE2DBC" w:rsidRPr="000E5C1F" w:rsidRDefault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 المقترح لجملة العمل</w:t>
            </w: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0E5C1F" w:rsidRDefault="00DE2DBC" w:rsidP="00DE2DB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E65D96" w:rsidRPr="000E5C1F" w:rsidRDefault="00E65D96" w:rsidP="00366854">
      <w:pPr>
        <w:jc w:val="center"/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</w:pPr>
    </w:p>
    <w:p w:rsidR="002F510D" w:rsidRPr="000E5C1F" w:rsidRDefault="00366854" w:rsidP="00366854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  <w:lastRenderedPageBreak/>
        <w:t>الموضوع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  <w:t xml:space="preserve"> الأوّل:</w:t>
      </w:r>
    </w:p>
    <w:p w:rsidR="00E65D96" w:rsidRPr="000E5C1F" w:rsidRDefault="00E65D96" w:rsidP="00366854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تراتب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المحاكم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العدليّ</w:t>
      </w: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ة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 xml:space="preserve"> </w:t>
      </w:r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غير</w:t>
      </w:r>
      <w:proofErr w:type="spellEnd"/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الجزائيّة</w:t>
      </w:r>
      <w:proofErr w:type="spellEnd"/>
    </w:p>
    <w:p w:rsidR="00366854" w:rsidRPr="000E5C1F" w:rsidRDefault="00366854" w:rsidP="00366854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 xml:space="preserve">La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>hiérarchie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 xml:space="preserve"> des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>juridictions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>judiciaires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 xml:space="preserve"> non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lang w:bidi="ar-TN"/>
        </w:rPr>
        <w:t>répressives</w:t>
      </w:r>
      <w:proofErr w:type="spellEnd"/>
    </w:p>
    <w:p w:rsidR="00366854" w:rsidRPr="000E5C1F" w:rsidRDefault="00366854" w:rsidP="00366854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66854" w:rsidRPr="000E5C1F" w:rsidRDefault="00366854" w:rsidP="00366854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أهمّ النّقاط التي ينبغي إيرادها في هذا الموضوع</w:t>
      </w:r>
      <w:r w:rsidR="00E65D96"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في هذا التّرتيب أو في أيّ </w:t>
      </w:r>
      <w:proofErr w:type="gramStart"/>
      <w:r w:rsidR="00E65D96"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ترتيب</w:t>
      </w:r>
      <w:proofErr w:type="gramEnd"/>
      <w:r w:rsidR="00E65D96"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آخر يستجيب للمواصفات المطلوبة</w:t>
      </w: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:</w:t>
      </w:r>
    </w:p>
    <w:p w:rsidR="00366854" w:rsidRPr="000E5C1F" w:rsidRDefault="00366854" w:rsidP="00366854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sz w:val="28"/>
          <w:szCs w:val="28"/>
          <w:rtl/>
          <w:lang w:bidi="ar-TN"/>
        </w:rPr>
        <w:t>تتراتب المحاكم العدليّة على النّحو التّالي: هنالك محاكم أصل، وفي أعلى الهرم محكمة التّعقيب.</w:t>
      </w: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66854" w:rsidRPr="000E5C1F" w:rsidRDefault="00366854" w:rsidP="00E65D96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0" w:name="_Toc248460288"/>
      <w:proofErr w:type="gramStart"/>
      <w:r w:rsidRPr="000E5C1F">
        <w:rPr>
          <w:rFonts w:asciiTheme="majorBidi" w:hAnsiTheme="majorBidi" w:cstheme="majorBidi"/>
          <w:highlight w:val="yellow"/>
          <w:rtl/>
          <w:lang w:val="fr-FR"/>
        </w:rPr>
        <w:t>محاكم</w:t>
      </w:r>
      <w:proofErr w:type="gramEnd"/>
      <w:r w:rsidRPr="000E5C1F">
        <w:rPr>
          <w:rFonts w:asciiTheme="majorBidi" w:hAnsiTheme="majorBidi" w:cstheme="majorBidi"/>
          <w:highlight w:val="yellow"/>
          <w:rtl/>
          <w:lang w:val="fr-FR"/>
        </w:rPr>
        <w:t xml:space="preserve"> الأصل</w:t>
      </w:r>
      <w:bookmarkEnd w:id="0"/>
    </w:p>
    <w:p w:rsidR="00E65D96" w:rsidRPr="000E5C1F" w:rsidRDefault="00E65D96" w:rsidP="00E65D96">
      <w:pPr>
        <w:pStyle w:val="Corpsdetexte"/>
        <w:rPr>
          <w:rFonts w:asciiTheme="majorBidi" w:hAnsiTheme="majorBidi" w:cstheme="majorBidi"/>
          <w:rtl/>
          <w:lang w:bidi="ar-TN"/>
        </w:rPr>
      </w:pPr>
    </w:p>
    <w:p w:rsidR="00366854" w:rsidRPr="000E5C1F" w:rsidRDefault="00E65D96" w:rsidP="00E65D96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1" w:name="_Toc248460289"/>
      <w:r w:rsidRPr="000E5C1F">
        <w:rPr>
          <w:rFonts w:asciiTheme="majorBidi" w:hAnsiTheme="majorBidi" w:cstheme="majorBidi"/>
          <w:rtl/>
          <w:lang w:val="fr-FR"/>
        </w:rPr>
        <w:t xml:space="preserve">             </w:t>
      </w:r>
      <w:proofErr w:type="gramStart"/>
      <w:r w:rsidR="00366854" w:rsidRPr="000E5C1F">
        <w:rPr>
          <w:rFonts w:asciiTheme="majorBidi" w:hAnsiTheme="majorBidi" w:cstheme="majorBidi"/>
          <w:highlight w:val="cyan"/>
          <w:rtl/>
          <w:lang w:val="fr-FR"/>
        </w:rPr>
        <w:t>محاكم</w:t>
      </w:r>
      <w:proofErr w:type="gramEnd"/>
      <w:r w:rsidR="00366854" w:rsidRPr="000E5C1F">
        <w:rPr>
          <w:rFonts w:asciiTheme="majorBidi" w:hAnsiTheme="majorBidi" w:cstheme="majorBidi"/>
          <w:highlight w:val="cyan"/>
          <w:rtl/>
          <w:lang w:val="fr-FR"/>
        </w:rPr>
        <w:t xml:space="preserve"> الدّرجة الأولى</w:t>
      </w:r>
      <w:bookmarkEnd w:id="1"/>
    </w:p>
    <w:p w:rsidR="00E65D96" w:rsidRPr="000E5C1F" w:rsidRDefault="00E65D96" w:rsidP="00E65D96">
      <w:pPr>
        <w:pStyle w:val="Corpsdetexte"/>
        <w:bidi/>
        <w:rPr>
          <w:rFonts w:asciiTheme="majorBidi" w:hAnsiTheme="majorBidi" w:cstheme="majorBidi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b/>
          <w:bCs/>
          <w:i/>
          <w:iCs/>
          <w:sz w:val="28"/>
          <w:szCs w:val="28"/>
          <w:rtl/>
          <w:lang w:val="fr-FR" w:bidi="ar-TN"/>
        </w:rPr>
      </w:pPr>
      <w:r w:rsidRPr="000E5C1F">
        <w:rPr>
          <w:rFonts w:asciiTheme="majorBidi" w:hAnsiTheme="majorBidi" w:cstheme="majorBidi"/>
          <w:b/>
          <w:bCs/>
          <w:i/>
          <w:iCs/>
          <w:sz w:val="28"/>
          <w:szCs w:val="28"/>
          <w:rtl/>
          <w:lang w:val="fr-FR" w:bidi="ar-TN"/>
        </w:rPr>
        <w:t>الاختصاص الحكمي</w:t>
      </w:r>
    </w:p>
    <w:p w:rsidR="00366854" w:rsidRPr="000E5C1F" w:rsidRDefault="00366854" w:rsidP="00366854">
      <w:pPr>
        <w:jc w:val="both"/>
        <w:rPr>
          <w:rFonts w:asciiTheme="majorBidi" w:hAnsiTheme="majorBidi" w:cstheme="majorBidi"/>
          <w:b/>
          <w:bCs/>
          <w:i/>
          <w:iCs/>
          <w:sz w:val="28"/>
          <w:szCs w:val="28"/>
          <w:rtl/>
          <w:lang w:val="fr-FR" w:bidi="ar-TN"/>
        </w:rPr>
      </w:pPr>
      <w:proofErr w:type="gramStart"/>
      <w:r w:rsidRPr="000E5C1F">
        <w:rPr>
          <w:rFonts w:asciiTheme="majorBidi" w:hAnsiTheme="majorBidi" w:cstheme="majorBidi"/>
          <w:b/>
          <w:bCs/>
          <w:i/>
          <w:iCs/>
          <w:sz w:val="28"/>
          <w:szCs w:val="28"/>
          <w:rtl/>
          <w:lang w:val="fr-FR" w:bidi="ar-TN"/>
        </w:rPr>
        <w:t>الاختصاص</w:t>
      </w:r>
      <w:proofErr w:type="gramEnd"/>
      <w:r w:rsidRPr="000E5C1F">
        <w:rPr>
          <w:rFonts w:asciiTheme="majorBidi" w:hAnsiTheme="majorBidi" w:cstheme="majorBidi"/>
          <w:b/>
          <w:bCs/>
          <w:i/>
          <w:iCs/>
          <w:sz w:val="28"/>
          <w:szCs w:val="28"/>
          <w:rtl/>
          <w:lang w:val="fr-FR" w:bidi="ar-TN"/>
        </w:rPr>
        <w:t xml:space="preserve"> التّرابي</w:t>
      </w:r>
    </w:p>
    <w:p w:rsidR="00366854" w:rsidRPr="000E5C1F" w:rsidRDefault="00366854" w:rsidP="00E65D96">
      <w:pPr>
        <w:pStyle w:val="6"/>
        <w:ind w:left="-58" w:right="0"/>
        <w:rPr>
          <w:rFonts w:asciiTheme="majorBidi" w:hAnsiTheme="majorBidi" w:cstheme="majorBidi"/>
          <w:i/>
          <w:iCs/>
          <w:rtl/>
          <w:lang w:val="fr-FR"/>
        </w:rPr>
      </w:pPr>
      <w:bookmarkStart w:id="2" w:name="_Toc248460290"/>
      <w:r w:rsidRPr="000E5C1F">
        <w:rPr>
          <w:rFonts w:asciiTheme="majorBidi" w:hAnsiTheme="majorBidi" w:cstheme="majorBidi"/>
          <w:i/>
          <w:iCs/>
          <w:rtl/>
          <w:lang w:val="fr-FR"/>
        </w:rPr>
        <w:t>المحاكم ذات الاختصاص الحكمي العامّ</w:t>
      </w:r>
      <w:bookmarkEnd w:id="2"/>
    </w:p>
    <w:p w:rsidR="00366854" w:rsidRPr="000E5C1F" w:rsidRDefault="00366854" w:rsidP="00E65D96">
      <w:pPr>
        <w:pStyle w:val="6"/>
        <w:ind w:left="-58" w:right="0"/>
        <w:rPr>
          <w:rFonts w:asciiTheme="majorBidi" w:hAnsiTheme="majorBidi" w:cstheme="majorBidi"/>
          <w:i/>
          <w:iCs/>
          <w:rtl/>
          <w:lang w:val="fr-FR"/>
        </w:rPr>
      </w:pPr>
      <w:bookmarkStart w:id="3" w:name="_Toc248460291"/>
      <w:r w:rsidRPr="000E5C1F">
        <w:rPr>
          <w:rFonts w:asciiTheme="majorBidi" w:hAnsiTheme="majorBidi" w:cstheme="majorBidi"/>
          <w:i/>
          <w:iCs/>
          <w:rtl/>
          <w:lang w:val="fr-FR"/>
        </w:rPr>
        <w:t>المحاكم ذات الاختصاص الحكمي المقيّد</w:t>
      </w:r>
      <w:bookmarkEnd w:id="3"/>
    </w:p>
    <w:p w:rsidR="00366854" w:rsidRPr="000E5C1F" w:rsidRDefault="00366854" w:rsidP="00366854">
      <w:pPr>
        <w:jc w:val="both"/>
        <w:rPr>
          <w:rFonts w:asciiTheme="majorBidi" w:hAnsiTheme="majorBidi" w:cstheme="majorBidi"/>
          <w:sz w:val="28"/>
          <w:szCs w:val="28"/>
          <w:rtl/>
          <w:lang w:val="fr-FR" w:bidi="ar-TN"/>
        </w:rPr>
      </w:pPr>
      <w:r w:rsidRPr="000E5C1F">
        <w:rPr>
          <w:rFonts w:asciiTheme="majorBidi" w:hAnsiTheme="majorBidi" w:cstheme="majorBidi"/>
          <w:sz w:val="28"/>
          <w:szCs w:val="28"/>
          <w:rtl/>
          <w:lang w:val="fr-FR" w:bidi="ar-TN"/>
        </w:rPr>
        <w:t xml:space="preserve"> </w:t>
      </w:r>
    </w:p>
    <w:p w:rsidR="00E65D96" w:rsidRPr="000E5C1F" w:rsidRDefault="00E65D96" w:rsidP="00E65D9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4" w:name="_Toc248460292"/>
      <w:r w:rsidRPr="000E5C1F">
        <w:rPr>
          <w:rFonts w:asciiTheme="majorBidi" w:hAnsiTheme="majorBidi" w:cstheme="majorBidi"/>
          <w:rtl/>
          <w:lang w:val="fr-FR"/>
        </w:rPr>
        <w:t xml:space="preserve">               </w:t>
      </w:r>
      <w:proofErr w:type="gramStart"/>
      <w:r w:rsidR="00366854" w:rsidRPr="000E5C1F">
        <w:rPr>
          <w:rFonts w:asciiTheme="majorBidi" w:hAnsiTheme="majorBidi" w:cstheme="majorBidi"/>
          <w:highlight w:val="cyan"/>
          <w:rtl/>
          <w:lang w:val="fr-FR"/>
        </w:rPr>
        <w:t>محاكم</w:t>
      </w:r>
      <w:proofErr w:type="gramEnd"/>
      <w:r w:rsidR="00366854" w:rsidRPr="000E5C1F">
        <w:rPr>
          <w:rFonts w:asciiTheme="majorBidi" w:hAnsiTheme="majorBidi" w:cstheme="majorBidi"/>
          <w:highlight w:val="cyan"/>
          <w:rtl/>
          <w:lang w:val="fr-FR"/>
        </w:rPr>
        <w:t xml:space="preserve"> الدّرجة الثّانية</w:t>
      </w:r>
      <w:bookmarkEnd w:id="4"/>
    </w:p>
    <w:p w:rsidR="00366854" w:rsidRPr="000E5C1F" w:rsidRDefault="00366854" w:rsidP="00E65D9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r w:rsidRPr="000E5C1F">
        <w:rPr>
          <w:rFonts w:asciiTheme="majorBidi" w:hAnsiTheme="majorBidi" w:cstheme="majorBidi"/>
          <w:rtl/>
          <w:lang w:val="fr-FR"/>
        </w:rPr>
        <w:t xml:space="preserve"> </w:t>
      </w:r>
    </w:p>
    <w:p w:rsidR="00366854" w:rsidRPr="000E5C1F" w:rsidRDefault="00366854" w:rsidP="00E65D9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5" w:name="_Toc248460293"/>
      <w:proofErr w:type="gramStart"/>
      <w:r w:rsidRPr="000E5C1F">
        <w:rPr>
          <w:rFonts w:asciiTheme="majorBidi" w:hAnsiTheme="majorBidi" w:cstheme="majorBidi"/>
          <w:highlight w:val="yellow"/>
          <w:rtl/>
          <w:lang w:val="fr-FR"/>
        </w:rPr>
        <w:t>محكمة</w:t>
      </w:r>
      <w:proofErr w:type="gramEnd"/>
      <w:r w:rsidRPr="000E5C1F">
        <w:rPr>
          <w:rFonts w:asciiTheme="majorBidi" w:hAnsiTheme="majorBidi" w:cstheme="majorBidi"/>
          <w:highlight w:val="yellow"/>
          <w:rtl/>
          <w:lang w:val="fr-FR"/>
        </w:rPr>
        <w:t xml:space="preserve"> القانون (التّعقيب)</w:t>
      </w:r>
      <w:bookmarkEnd w:id="5"/>
    </w:p>
    <w:p w:rsidR="00E65D96" w:rsidRPr="000E5C1F" w:rsidRDefault="00E65D96" w:rsidP="00E65D96">
      <w:pPr>
        <w:pStyle w:val="Corpsdetexte"/>
        <w:bidi/>
        <w:rPr>
          <w:rFonts w:asciiTheme="majorBidi" w:hAnsiTheme="majorBidi" w:cstheme="majorBidi"/>
          <w:rtl/>
          <w:lang w:bidi="ar-TN"/>
        </w:rPr>
      </w:pPr>
    </w:p>
    <w:p w:rsidR="00366854" w:rsidRPr="000E5C1F" w:rsidRDefault="00E65D96" w:rsidP="00E65D9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proofErr w:type="gramStart"/>
      <w:r w:rsidR="00366854" w:rsidRPr="000E5C1F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>أنواع</w:t>
      </w:r>
      <w:proofErr w:type="gramEnd"/>
      <w:r w:rsidR="00366854" w:rsidRPr="000E5C1F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قرارات محكمة القانون</w:t>
      </w:r>
    </w:p>
    <w:p w:rsidR="00E65D96" w:rsidRPr="000E5C1F" w:rsidRDefault="00E65D96" w:rsidP="00E65D9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366854" w:rsidRPr="000E5C1F" w:rsidRDefault="00E65D96" w:rsidP="00E65D9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366854" w:rsidRPr="000E5C1F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دور </w:t>
      </w:r>
      <w:proofErr w:type="gramStart"/>
      <w:r w:rsidR="00366854" w:rsidRPr="000E5C1F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>محكمة</w:t>
      </w:r>
      <w:proofErr w:type="gramEnd"/>
      <w:r w:rsidR="00366854" w:rsidRPr="000E5C1F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القانون</w:t>
      </w:r>
    </w:p>
    <w:p w:rsidR="00366854" w:rsidRPr="000E5C1F" w:rsidRDefault="00366854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E65D96" w:rsidRPr="000E5C1F" w:rsidRDefault="00E65D96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66854" w:rsidRPr="000E5C1F" w:rsidRDefault="00366854" w:rsidP="00366854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66854" w:rsidRPr="000E5C1F" w:rsidRDefault="00366854" w:rsidP="00E65D9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  <w:t>الموضوع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  <w:t xml:space="preserve"> الثّاني:</w:t>
      </w:r>
    </w:p>
    <w:p w:rsidR="00E65D96" w:rsidRPr="000E5C1F" w:rsidRDefault="00E65D96" w:rsidP="00E65D9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366854" w:rsidRPr="000E5C1F" w:rsidRDefault="00366854" w:rsidP="00E65D9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مدّة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نفاذ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  <w:rtl/>
        </w:rPr>
        <w:t>النّصوص</w:t>
      </w:r>
      <w:proofErr w:type="spellEnd"/>
    </w:p>
    <w:p w:rsidR="00366854" w:rsidRPr="000E5C1F" w:rsidRDefault="00366854" w:rsidP="00E65D9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 xml:space="preserve">La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>durée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 xml:space="preserve"> de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>validité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 xml:space="preserve"> des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>textes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>juridiques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 xml:space="preserve"> </w:t>
      </w:r>
      <w:proofErr w:type="spellStart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>dans</w:t>
      </w:r>
      <w:proofErr w:type="spellEnd"/>
      <w:r w:rsidRPr="000E5C1F">
        <w:rPr>
          <w:rFonts w:asciiTheme="majorBidi" w:hAnsiTheme="majorBidi" w:cstheme="majorBidi"/>
          <w:b/>
          <w:bCs/>
          <w:sz w:val="28"/>
          <w:szCs w:val="28"/>
          <w:highlight w:val="magenta"/>
        </w:rPr>
        <w:t xml:space="preserve"> le temps</w:t>
      </w:r>
    </w:p>
    <w:p w:rsidR="00E65D96" w:rsidRPr="000E5C1F" w:rsidRDefault="00E65D96" w:rsidP="00E65D9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E65D96" w:rsidRPr="000E5C1F" w:rsidRDefault="00E65D96" w:rsidP="00E65D9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E65D96" w:rsidRPr="000E5C1F" w:rsidRDefault="00E65D96" w:rsidP="00E65D9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E65D96" w:rsidRPr="000E5C1F" w:rsidRDefault="00E65D96" w:rsidP="00E65D9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E65D96" w:rsidRPr="000E5C1F" w:rsidRDefault="00E65D96" w:rsidP="00E65D9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ترتيب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آخر يستجيب للمواصفات المطلوبة:</w:t>
      </w:r>
    </w:p>
    <w:p w:rsidR="000E5C1F" w:rsidRPr="000E5C1F" w:rsidRDefault="000E5C1F" w:rsidP="00E65D9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0E5C1F" w:rsidRPr="000E5C1F" w:rsidRDefault="000E5C1F" w:rsidP="00E65D9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0E5C1F" w:rsidRPr="000E5C1F" w:rsidRDefault="000E5C1F" w:rsidP="00E65D9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0E5C1F" w:rsidRPr="000E5C1F" w:rsidRDefault="000E5C1F" w:rsidP="000E5C1F">
      <w:pPr>
        <w:jc w:val="both"/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</w:pPr>
      <w:proofErr w:type="gramStart"/>
      <w:r w:rsidRPr="000E5C1F"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  <w:t>يمتدّ</w:t>
      </w:r>
      <w:proofErr w:type="gramEnd"/>
      <w:r w:rsidRPr="000E5C1F"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  <w:t xml:space="preserve"> نفاذ النّصوص بين نقطتين: نقطة بداية، ونقطة نهاية.</w:t>
      </w:r>
    </w:p>
    <w:p w:rsidR="000E5C1F" w:rsidRPr="000E5C1F" w:rsidRDefault="000E5C1F" w:rsidP="000E5C1F">
      <w:pPr>
        <w:jc w:val="both"/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</w:pPr>
    </w:p>
    <w:p w:rsidR="000E5C1F" w:rsidRPr="000E5C1F" w:rsidRDefault="000E5C1F" w:rsidP="000E5C1F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bookmarkStart w:id="6" w:name="_Toc248460221"/>
      <w:proofErr w:type="gramStart"/>
      <w:r w:rsidRPr="000E5C1F">
        <w:rPr>
          <w:rFonts w:asciiTheme="majorBidi" w:hAnsiTheme="majorBidi" w:cstheme="majorBidi"/>
          <w:color w:val="000000"/>
          <w:highlight w:val="yellow"/>
          <w:rtl/>
        </w:rPr>
        <w:t>بداية</w:t>
      </w:r>
      <w:proofErr w:type="gramEnd"/>
      <w:r w:rsidRPr="000E5C1F">
        <w:rPr>
          <w:rFonts w:asciiTheme="majorBidi" w:hAnsiTheme="majorBidi" w:cstheme="majorBidi"/>
          <w:color w:val="000000"/>
          <w:highlight w:val="yellow"/>
          <w:rtl/>
        </w:rPr>
        <w:t xml:space="preserve"> نفاذ النّصوص</w:t>
      </w:r>
      <w:bookmarkEnd w:id="6"/>
    </w:p>
    <w:p w:rsidR="000E5C1F" w:rsidRPr="000E5C1F" w:rsidRDefault="000E5C1F" w:rsidP="000E5C1F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bookmarkStart w:id="7" w:name="_Toc248460222"/>
      <w:r w:rsidRPr="000E5C1F">
        <w:rPr>
          <w:rFonts w:asciiTheme="majorBidi" w:hAnsiTheme="majorBidi" w:cstheme="majorBidi"/>
          <w:color w:val="000000"/>
          <w:highlight w:val="cyan"/>
          <w:rtl/>
        </w:rPr>
        <w:t xml:space="preserve">شرط بداية النّفاذ </w:t>
      </w:r>
      <w:proofErr w:type="gramStart"/>
      <w:r w:rsidRPr="000E5C1F">
        <w:rPr>
          <w:rFonts w:asciiTheme="majorBidi" w:hAnsiTheme="majorBidi" w:cstheme="majorBidi"/>
          <w:color w:val="000000"/>
          <w:highlight w:val="cyan"/>
          <w:rtl/>
        </w:rPr>
        <w:t>الخاصّ</w:t>
      </w:r>
      <w:proofErr w:type="gramEnd"/>
      <w:r w:rsidRPr="000E5C1F">
        <w:rPr>
          <w:rFonts w:asciiTheme="majorBidi" w:hAnsiTheme="majorBidi" w:cstheme="majorBidi"/>
          <w:color w:val="000000"/>
          <w:highlight w:val="cyan"/>
          <w:rtl/>
        </w:rPr>
        <w:t xml:space="preserve"> بالنّصوص القانونيّة (الإصدار </w:t>
      </w:r>
      <w:r w:rsidRPr="000E5C1F">
        <w:rPr>
          <w:rFonts w:asciiTheme="majorBidi" w:hAnsiTheme="majorBidi" w:cstheme="majorBidi"/>
          <w:color w:val="000000"/>
          <w:highlight w:val="cyan"/>
        </w:rPr>
        <w:t>promulgation</w:t>
      </w:r>
      <w:r w:rsidRPr="000E5C1F">
        <w:rPr>
          <w:rFonts w:asciiTheme="majorBidi" w:hAnsiTheme="majorBidi" w:cstheme="majorBidi"/>
          <w:color w:val="000000"/>
          <w:highlight w:val="cyan"/>
          <w:rtl/>
        </w:rPr>
        <w:t>)</w:t>
      </w:r>
      <w:bookmarkEnd w:id="7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ind w:left="509" w:right="0"/>
        <w:rPr>
          <w:rFonts w:asciiTheme="majorBidi" w:hAnsiTheme="majorBidi" w:cstheme="majorBidi"/>
          <w:color w:val="000000"/>
          <w:rtl/>
        </w:rPr>
      </w:pPr>
      <w:bookmarkStart w:id="8" w:name="_Toc248460223"/>
      <w:proofErr w:type="gramStart"/>
      <w:r w:rsidRPr="000E5C1F">
        <w:rPr>
          <w:rFonts w:asciiTheme="majorBidi" w:hAnsiTheme="majorBidi" w:cstheme="majorBidi"/>
          <w:color w:val="000000"/>
          <w:highlight w:val="cyan"/>
          <w:rtl/>
        </w:rPr>
        <w:t>شرطا</w:t>
      </w:r>
      <w:proofErr w:type="gramEnd"/>
      <w:r w:rsidRPr="000E5C1F">
        <w:rPr>
          <w:rFonts w:asciiTheme="majorBidi" w:hAnsiTheme="majorBidi" w:cstheme="majorBidi"/>
          <w:color w:val="000000"/>
          <w:highlight w:val="cyan"/>
          <w:rtl/>
        </w:rPr>
        <w:t xml:space="preserve"> بداية النّفاذ اللذان يهمّان جميع النّصوص</w:t>
      </w:r>
      <w:bookmarkEnd w:id="8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rPr>
          <w:rFonts w:asciiTheme="majorBidi" w:hAnsiTheme="majorBidi" w:cstheme="majorBidi"/>
          <w:color w:val="000000"/>
          <w:rtl/>
        </w:rPr>
      </w:pPr>
      <w:bookmarkStart w:id="9" w:name="_Toc248460224"/>
      <w:r w:rsidRPr="000E5C1F">
        <w:rPr>
          <w:rFonts w:asciiTheme="majorBidi" w:hAnsiTheme="majorBidi" w:cstheme="majorBidi"/>
          <w:color w:val="000000"/>
          <w:highlight w:val="green"/>
          <w:rtl/>
        </w:rPr>
        <w:t>النّشر</w:t>
      </w:r>
      <w:bookmarkEnd w:id="9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ind w:right="0"/>
        <w:rPr>
          <w:rFonts w:asciiTheme="majorBidi" w:hAnsiTheme="majorBidi" w:cstheme="majorBidi"/>
          <w:color w:val="000000"/>
          <w:rtl/>
        </w:rPr>
      </w:pPr>
      <w:bookmarkStart w:id="10" w:name="_Toc248460225"/>
      <w:proofErr w:type="gramStart"/>
      <w:r w:rsidRPr="000E5C1F">
        <w:rPr>
          <w:rFonts w:asciiTheme="majorBidi" w:hAnsiTheme="majorBidi" w:cstheme="majorBidi"/>
          <w:color w:val="000000"/>
          <w:highlight w:val="green"/>
          <w:rtl/>
        </w:rPr>
        <w:t>مرور</w:t>
      </w:r>
      <w:proofErr w:type="gramEnd"/>
      <w:r w:rsidRPr="000E5C1F">
        <w:rPr>
          <w:rFonts w:asciiTheme="majorBidi" w:hAnsiTheme="majorBidi" w:cstheme="majorBidi"/>
          <w:color w:val="000000"/>
          <w:highlight w:val="green"/>
          <w:rtl/>
        </w:rPr>
        <w:t xml:space="preserve"> زمن معيّن على النّشر</w:t>
      </w:r>
      <w:bookmarkEnd w:id="10"/>
    </w:p>
    <w:p w:rsidR="000E5C1F" w:rsidRPr="000E5C1F" w:rsidRDefault="000E5C1F" w:rsidP="000E5C1F">
      <w:pPr>
        <w:jc w:val="both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  <w:t>المبدأ</w:t>
      </w:r>
    </w:p>
    <w:p w:rsidR="000E5C1F" w:rsidRPr="000E5C1F" w:rsidRDefault="000E5C1F" w:rsidP="000E5C1F">
      <w:pPr>
        <w:jc w:val="lowKashida"/>
        <w:outlineLvl w:val="0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  <w:t>الاستثناءات</w:t>
      </w:r>
    </w:p>
    <w:p w:rsidR="000E5C1F" w:rsidRPr="000E5C1F" w:rsidRDefault="000E5C1F" w:rsidP="000E5C1F">
      <w:pPr>
        <w:jc w:val="lowKashida"/>
        <w:outlineLvl w:val="0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</w:p>
    <w:p w:rsidR="000E5C1F" w:rsidRPr="000E5C1F" w:rsidRDefault="000E5C1F" w:rsidP="000E5C1F">
      <w:pPr>
        <w:pStyle w:val="5"/>
        <w:ind w:hanging="1679"/>
        <w:rPr>
          <w:rFonts w:asciiTheme="majorBidi" w:hAnsiTheme="majorBidi" w:cstheme="majorBidi"/>
          <w:color w:val="000000"/>
          <w:rtl/>
        </w:rPr>
      </w:pPr>
      <w:bookmarkStart w:id="11" w:name="_Toc248460226"/>
      <w:proofErr w:type="gramStart"/>
      <w:r w:rsidRPr="000E5C1F">
        <w:rPr>
          <w:rFonts w:asciiTheme="majorBidi" w:hAnsiTheme="majorBidi" w:cstheme="majorBidi"/>
          <w:color w:val="000000"/>
          <w:highlight w:val="yellow"/>
          <w:rtl/>
        </w:rPr>
        <w:t>نهاية</w:t>
      </w:r>
      <w:proofErr w:type="gramEnd"/>
      <w:r w:rsidRPr="000E5C1F">
        <w:rPr>
          <w:rFonts w:asciiTheme="majorBidi" w:hAnsiTheme="majorBidi" w:cstheme="majorBidi"/>
          <w:color w:val="000000"/>
          <w:highlight w:val="yellow"/>
          <w:rtl/>
        </w:rPr>
        <w:t xml:space="preserve"> نفاذ النّصوص (النّسخ </w:t>
      </w:r>
      <w:r w:rsidRPr="000E5C1F">
        <w:rPr>
          <w:rFonts w:asciiTheme="majorBidi" w:hAnsiTheme="majorBidi" w:cstheme="majorBidi"/>
          <w:color w:val="000000"/>
          <w:highlight w:val="yellow"/>
        </w:rPr>
        <w:t>abrogation</w:t>
      </w:r>
      <w:r w:rsidRPr="000E5C1F">
        <w:rPr>
          <w:rFonts w:asciiTheme="majorBidi" w:hAnsiTheme="majorBidi" w:cstheme="majorBidi"/>
          <w:color w:val="000000"/>
          <w:highlight w:val="yellow"/>
          <w:rtl/>
        </w:rPr>
        <w:t>)</w:t>
      </w:r>
      <w:bookmarkEnd w:id="11"/>
    </w:p>
    <w:p w:rsidR="000E5C1F" w:rsidRPr="000E5C1F" w:rsidRDefault="000E5C1F" w:rsidP="000E5C1F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bookmarkStart w:id="12" w:name="_Toc248460227"/>
      <w:r w:rsidRPr="000E5C1F">
        <w:rPr>
          <w:rFonts w:asciiTheme="majorBidi" w:hAnsiTheme="majorBidi" w:cstheme="majorBidi"/>
          <w:color w:val="000000"/>
          <w:highlight w:val="cyan"/>
          <w:rtl/>
        </w:rPr>
        <w:t>نهاية النّفاذ غير المختلف عليه</w:t>
      </w:r>
      <w:bookmarkEnd w:id="12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ind w:right="0"/>
        <w:rPr>
          <w:rFonts w:asciiTheme="majorBidi" w:hAnsiTheme="majorBidi" w:cstheme="majorBidi"/>
          <w:color w:val="000000"/>
          <w:rtl/>
        </w:rPr>
      </w:pPr>
      <w:bookmarkStart w:id="13" w:name="_Toc248460228"/>
      <w:r w:rsidRPr="000E5C1F">
        <w:rPr>
          <w:rFonts w:asciiTheme="majorBidi" w:hAnsiTheme="majorBidi" w:cstheme="majorBidi"/>
          <w:color w:val="000000"/>
          <w:highlight w:val="green"/>
          <w:rtl/>
        </w:rPr>
        <w:t xml:space="preserve">نهاية النّفاذ </w:t>
      </w:r>
      <w:proofErr w:type="gramStart"/>
      <w:r w:rsidRPr="000E5C1F">
        <w:rPr>
          <w:rFonts w:asciiTheme="majorBidi" w:hAnsiTheme="majorBidi" w:cstheme="majorBidi"/>
          <w:color w:val="000000"/>
          <w:highlight w:val="green"/>
          <w:rtl/>
        </w:rPr>
        <w:t>الواردة</w:t>
      </w:r>
      <w:proofErr w:type="gramEnd"/>
      <w:r w:rsidRPr="000E5C1F">
        <w:rPr>
          <w:rFonts w:asciiTheme="majorBidi" w:hAnsiTheme="majorBidi" w:cstheme="majorBidi"/>
          <w:color w:val="000000"/>
          <w:highlight w:val="green"/>
          <w:rtl/>
        </w:rPr>
        <w:t xml:space="preserve"> صراحة (النّسخ الصّريح)</w:t>
      </w:r>
      <w:bookmarkEnd w:id="13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ind w:right="0"/>
        <w:rPr>
          <w:rFonts w:asciiTheme="majorBidi" w:hAnsiTheme="majorBidi" w:cstheme="majorBidi"/>
          <w:color w:val="000000"/>
          <w:rtl/>
        </w:rPr>
      </w:pPr>
      <w:bookmarkStart w:id="14" w:name="_Toc248460229"/>
      <w:r w:rsidRPr="000E5C1F">
        <w:rPr>
          <w:rFonts w:asciiTheme="majorBidi" w:hAnsiTheme="majorBidi" w:cstheme="majorBidi"/>
          <w:color w:val="000000"/>
          <w:highlight w:val="green"/>
          <w:rtl/>
        </w:rPr>
        <w:t xml:space="preserve">نهاية </w:t>
      </w:r>
      <w:proofErr w:type="gramStart"/>
      <w:r w:rsidRPr="000E5C1F">
        <w:rPr>
          <w:rFonts w:asciiTheme="majorBidi" w:hAnsiTheme="majorBidi" w:cstheme="majorBidi"/>
          <w:color w:val="000000"/>
          <w:highlight w:val="green"/>
          <w:rtl/>
        </w:rPr>
        <w:t>النّفاذ</w:t>
      </w:r>
      <w:proofErr w:type="gramEnd"/>
      <w:r w:rsidRPr="000E5C1F">
        <w:rPr>
          <w:rFonts w:asciiTheme="majorBidi" w:hAnsiTheme="majorBidi" w:cstheme="majorBidi"/>
          <w:color w:val="000000"/>
          <w:highlight w:val="green"/>
          <w:rtl/>
        </w:rPr>
        <w:t xml:space="preserve"> الواردة ضمنيّاً (النّسخ الضّمني)</w:t>
      </w:r>
      <w:bookmarkEnd w:id="14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6"/>
        <w:rPr>
          <w:rFonts w:asciiTheme="majorBidi" w:hAnsiTheme="majorBidi" w:cstheme="majorBidi"/>
          <w:color w:val="000000"/>
          <w:rtl/>
        </w:rPr>
      </w:pPr>
      <w:bookmarkStart w:id="15" w:name="_Toc248460230"/>
      <w:r w:rsidRPr="000E5C1F">
        <w:rPr>
          <w:rFonts w:asciiTheme="majorBidi" w:hAnsiTheme="majorBidi" w:cstheme="majorBidi"/>
          <w:color w:val="000000"/>
          <w:rtl/>
        </w:rPr>
        <w:t xml:space="preserve">            </w:t>
      </w:r>
      <w:r w:rsidRPr="000E5C1F">
        <w:rPr>
          <w:rFonts w:asciiTheme="majorBidi" w:hAnsiTheme="majorBidi" w:cstheme="majorBidi"/>
          <w:color w:val="000000"/>
          <w:rtl/>
        </w:rPr>
        <w:t>التّعارض</w:t>
      </w:r>
      <w:bookmarkEnd w:id="15"/>
    </w:p>
    <w:p w:rsidR="000E5C1F" w:rsidRPr="000E5C1F" w:rsidRDefault="000E5C1F" w:rsidP="000E5C1F">
      <w:pPr>
        <w:pStyle w:val="6"/>
        <w:rPr>
          <w:rFonts w:asciiTheme="majorBidi" w:hAnsiTheme="majorBidi" w:cstheme="majorBidi"/>
          <w:color w:val="000000"/>
          <w:rtl/>
        </w:rPr>
      </w:pPr>
      <w:bookmarkStart w:id="16" w:name="_Toc248460231"/>
      <w:r w:rsidRPr="000E5C1F">
        <w:rPr>
          <w:rFonts w:asciiTheme="majorBidi" w:hAnsiTheme="majorBidi" w:cstheme="majorBidi"/>
          <w:color w:val="000000"/>
          <w:rtl/>
        </w:rPr>
        <w:t xml:space="preserve">           </w:t>
      </w:r>
      <w:r w:rsidRPr="000E5C1F">
        <w:rPr>
          <w:rFonts w:asciiTheme="majorBidi" w:hAnsiTheme="majorBidi" w:cstheme="majorBidi"/>
          <w:color w:val="000000"/>
          <w:rtl/>
        </w:rPr>
        <w:t>الاستيعاب</w:t>
      </w:r>
      <w:bookmarkEnd w:id="16"/>
    </w:p>
    <w:p w:rsidR="000E5C1F" w:rsidRPr="000E5C1F" w:rsidRDefault="000E5C1F" w:rsidP="000E5C1F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0E5C1F" w:rsidRPr="000E5C1F" w:rsidRDefault="000E5C1F" w:rsidP="000E5C1F">
      <w:pPr>
        <w:pStyle w:val="5"/>
        <w:ind w:hanging="1112"/>
        <w:rPr>
          <w:rFonts w:asciiTheme="majorBidi" w:hAnsiTheme="majorBidi" w:cstheme="majorBidi"/>
          <w:color w:val="000000"/>
          <w:rtl/>
        </w:rPr>
      </w:pPr>
      <w:bookmarkStart w:id="17" w:name="_Toc248460232"/>
      <w:r w:rsidRPr="000E5C1F">
        <w:rPr>
          <w:rFonts w:asciiTheme="majorBidi" w:hAnsiTheme="majorBidi" w:cstheme="majorBidi"/>
          <w:color w:val="000000"/>
          <w:highlight w:val="cyan"/>
          <w:rtl/>
        </w:rPr>
        <w:t>نهاية النّفاذ المختلف عليها (النّصوص المهجورة)</w:t>
      </w:r>
      <w:bookmarkEnd w:id="17"/>
    </w:p>
    <w:p w:rsidR="000E5C1F" w:rsidRPr="000E5C1F" w:rsidRDefault="000E5C1F" w:rsidP="00E65D96">
      <w:pPr>
        <w:jc w:val="both"/>
        <w:rPr>
          <w:rFonts w:asciiTheme="majorBidi" w:hAnsiTheme="majorBidi" w:cstheme="majorBidi"/>
          <w:sz w:val="28"/>
          <w:szCs w:val="28"/>
          <w:lang w:bidi="ar-TN"/>
        </w:rPr>
      </w:pPr>
      <w:bookmarkStart w:id="18" w:name="_GoBack"/>
      <w:bookmarkEnd w:id="18"/>
    </w:p>
    <w:sectPr w:rsidR="000E5C1F" w:rsidRPr="000E5C1F" w:rsidSect="002F510D">
      <w:head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457" w:rsidRDefault="009A4457" w:rsidP="00366854">
      <w:r>
        <w:separator/>
      </w:r>
    </w:p>
  </w:endnote>
  <w:endnote w:type="continuationSeparator" w:id="0">
    <w:p w:rsidR="009A4457" w:rsidRDefault="009A4457" w:rsidP="0036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ransparent">
    <w:panose1 w:val="020B0604020202020204"/>
    <w:charset w:val="B2"/>
    <w:family w:val="auto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457" w:rsidRDefault="009A4457" w:rsidP="00366854">
      <w:r>
        <w:separator/>
      </w:r>
    </w:p>
  </w:footnote>
  <w:footnote w:type="continuationSeparator" w:id="0">
    <w:p w:rsidR="009A4457" w:rsidRDefault="009A4457" w:rsidP="00366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  <w:lang w:bidi="ar-TN"/>
      </w:rPr>
      <w:id w:val="-2061011717"/>
      <w:docPartObj>
        <w:docPartGallery w:val="Page Numbers (Top of Page)"/>
        <w:docPartUnique/>
      </w:docPartObj>
    </w:sdtPr>
    <w:sdtContent>
      <w:p w:rsidR="00E65D96" w:rsidRDefault="00E65D96">
        <w:pPr>
          <w:pStyle w:val="En-tte"/>
        </w:pPr>
        <w:r>
          <w:rPr>
            <w:noProof/>
          </w:rPr>
          <w:pict>
            <v:oval id="Ellipse 12" o:spid="_x0000_s2049" style="position:absolute;left:0;text-align:left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" o:allowincell="f" fillcolor="yellow" stroked="f">
              <v:textbox inset="0,,0">
                <w:txbxContent>
                  <w:p w:rsidR="00E65D96" w:rsidRPr="00E65D96" w:rsidRDefault="00E65D96">
                    <w:pPr>
                      <w:pStyle w:val="Pieddepage"/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E65D96">
                      <w:rPr>
                        <w:sz w:val="22"/>
                        <w:szCs w:val="21"/>
                      </w:rPr>
                      <w:fldChar w:fldCharType="begin"/>
                    </w:r>
                    <w:r w:rsidRPr="00E65D96">
                      <w:instrText>PAGE    \* MERGEFORMAT</w:instrText>
                    </w:r>
                    <w:r w:rsidRPr="00E65D96">
                      <w:rPr>
                        <w:sz w:val="22"/>
                        <w:szCs w:val="21"/>
                      </w:rPr>
                      <w:fldChar w:fldCharType="separate"/>
                    </w:r>
                    <w:r w:rsidR="000E5C1F" w:rsidRPr="000E5C1F">
                      <w:rPr>
                        <w:b/>
                        <w:bCs/>
                        <w:noProof/>
                        <w:sz w:val="32"/>
                        <w:szCs w:val="32"/>
                        <w:rtl/>
                        <w:lang w:val="fr-FR"/>
                      </w:rPr>
                      <w:t>3</w:t>
                    </w:r>
                    <w:r w:rsidRPr="00E65D96">
                      <w:rPr>
                        <w:b/>
                        <w:bCs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0CD9"/>
    <w:multiLevelType w:val="hybridMultilevel"/>
    <w:tmpl w:val="17C44050"/>
    <w:lvl w:ilvl="0" w:tplc="A14C86A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47A25"/>
    <w:multiLevelType w:val="hybridMultilevel"/>
    <w:tmpl w:val="7304C706"/>
    <w:lvl w:ilvl="0" w:tplc="66D20282">
      <w:start w:val="1"/>
      <w:numFmt w:val="arabicAlpha"/>
      <w:lvlText w:val="%1)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>
    <w:nsid w:val="57743E40"/>
    <w:multiLevelType w:val="hybridMultilevel"/>
    <w:tmpl w:val="59928BC6"/>
    <w:lvl w:ilvl="0" w:tplc="E8A0C176">
      <w:start w:val="1"/>
      <w:numFmt w:val="arabicAlpha"/>
      <w:lvlText w:val="%1)"/>
      <w:lvlJc w:val="left"/>
      <w:pPr>
        <w:ind w:left="6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2DBC"/>
    <w:rsid w:val="000E5C1F"/>
    <w:rsid w:val="001833B3"/>
    <w:rsid w:val="002E3D1A"/>
    <w:rsid w:val="002F510D"/>
    <w:rsid w:val="00366854"/>
    <w:rsid w:val="00621B2B"/>
    <w:rsid w:val="0062660F"/>
    <w:rsid w:val="00634FEA"/>
    <w:rsid w:val="00652D7A"/>
    <w:rsid w:val="008879D9"/>
    <w:rsid w:val="008F2C9A"/>
    <w:rsid w:val="009A4457"/>
    <w:rsid w:val="00B63C0C"/>
    <w:rsid w:val="00BE481F"/>
    <w:rsid w:val="00D30E8A"/>
    <w:rsid w:val="00DE2DBC"/>
    <w:rsid w:val="00DF54E7"/>
    <w:rsid w:val="00E65D96"/>
    <w:rsid w:val="00F955D1"/>
    <w:rsid w:val="00FB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autoRedefine/>
    <w:uiPriority w:val="99"/>
    <w:qFormat/>
    <w:rsid w:val="00BE481F"/>
    <w:pPr>
      <w:bidi w:val="0"/>
      <w:jc w:val="both"/>
    </w:pPr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481F"/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table" w:styleId="Grilledutableau">
    <w:name w:val="Table Grid"/>
    <w:basedOn w:val="TableauNormal"/>
    <w:uiPriority w:val="59"/>
    <w:rsid w:val="00DE2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fin">
    <w:name w:val="endnote text"/>
    <w:basedOn w:val="Normal"/>
    <w:link w:val="NotedefinCar"/>
    <w:uiPriority w:val="99"/>
    <w:semiHidden/>
    <w:unhideWhenUsed/>
    <w:rsid w:val="00366854"/>
    <w:rPr>
      <w:rFonts w:eastAsiaTheme="minorEastAsia"/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66854"/>
    <w:rPr>
      <w:rFonts w:eastAsiaTheme="minorEastAsia"/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66854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E65D9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E65D96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E65D9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65D9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ED1BF-86DF-4AA9-AFE7-0DA43F619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ZARROUKI</dc:creator>
  <cp:lastModifiedBy>ABDELMAGID</cp:lastModifiedBy>
  <cp:revision>2</cp:revision>
  <cp:lastPrinted>2010-06-04T16:20:00Z</cp:lastPrinted>
  <dcterms:created xsi:type="dcterms:W3CDTF">2009-07-07T13:46:00Z</dcterms:created>
  <dcterms:modified xsi:type="dcterms:W3CDTF">2010-06-04T16:20:00Z</dcterms:modified>
</cp:coreProperties>
</file>